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321021D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B6753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831E0DC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B6753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B12C3D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B675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8D32B4E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B6753">
              <w:rPr>
                <w:rFonts w:ascii="Verdana" w:hAnsi="Verdana"/>
                <w:sz w:val="20"/>
                <w:szCs w:val="20"/>
                <w:lang w:val="sl-SI"/>
              </w:rPr>
              <w:t>Usmerjevalniki 2020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0395E3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B6753">
              <w:rPr>
                <w:rFonts w:ascii="Verdana" w:hAnsi="Verdana"/>
                <w:b/>
                <w:sz w:val="20"/>
                <w:szCs w:val="20"/>
                <w:lang w:val="sl-SI"/>
              </w:rPr>
              <w:t>Nakup internetnih usmerjevalnikov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GoBack"/>
            <w:bookmarkEnd w:id="0"/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3158E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B4756" w14:textId="77777777" w:rsidR="00AE0041" w:rsidRDefault="00AE0041" w:rsidP="00CB4327">
      <w:pPr>
        <w:spacing w:after="0" w:line="240" w:lineRule="auto"/>
      </w:pPr>
      <w:r>
        <w:separator/>
      </w:r>
    </w:p>
  </w:endnote>
  <w:endnote w:type="continuationSeparator" w:id="0">
    <w:p w14:paraId="493E580F" w14:textId="77777777" w:rsidR="00AE0041" w:rsidRDefault="00AE004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3505" w14:textId="77777777" w:rsidR="003158EA" w:rsidRPr="003A1EA8" w:rsidRDefault="003158EA" w:rsidP="003158EA">
    <w:pPr>
      <w:spacing w:after="120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Operacijo </w:t>
    </w:r>
    <w:r>
      <w:rPr>
        <w:rFonts w:asciiTheme="majorHAnsi" w:hAnsiTheme="majorHAnsi" w:cstheme="majorHAnsi"/>
        <w:i/>
        <w:sz w:val="16"/>
        <w:szCs w:val="16"/>
        <w:lang w:val="sl-SI"/>
      </w:rPr>
      <w:t xml:space="preserve">sofinancirata Republika Slovenija, Ministrstvo za izobraževanje, znanost in šport in 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>Evropska unija iz Evropskega sklada za regionalni razvoj</w:t>
    </w:r>
    <w:r>
      <w:rPr>
        <w:rFonts w:asciiTheme="majorHAnsi" w:hAnsiTheme="majorHAnsi" w:cstheme="majorHAnsi"/>
        <w:i/>
        <w:sz w:val="16"/>
        <w:szCs w:val="16"/>
        <w:lang w:val="sl-SI"/>
      </w:rPr>
      <w:t xml:space="preserve">. 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>Operacija se izvaja v okviru Operativnega programa za izvajanje evropske kohezijske politike v obdobju 2014-2020, prednostn</w:t>
    </w:r>
    <w:r>
      <w:rPr>
        <w:rFonts w:asciiTheme="majorHAnsi" w:hAnsiTheme="majorHAnsi" w:cstheme="majorHAnsi"/>
        <w:i/>
        <w:sz w:val="16"/>
        <w:szCs w:val="16"/>
        <w:lang w:val="sl-SI"/>
      </w:rPr>
      <w:t>i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os</w:t>
    </w:r>
    <w:r>
      <w:rPr>
        <w:rFonts w:asciiTheme="majorHAnsi" w:hAnsiTheme="majorHAnsi" w:cstheme="majorHAnsi"/>
        <w:i/>
        <w:sz w:val="16"/>
        <w:szCs w:val="16"/>
        <w:lang w:val="sl-SI"/>
      </w:rPr>
      <w:t>i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10: Znanje, spretnost in vseživljenjsko učene za boljšo zaposljivost</w:t>
    </w:r>
    <w:r>
      <w:rPr>
        <w:rFonts w:asciiTheme="majorHAnsi" w:hAnsiTheme="majorHAnsi" w:cstheme="majorHAnsi"/>
        <w:i/>
        <w:sz w:val="16"/>
        <w:szCs w:val="16"/>
        <w:lang w:val="sl-SI"/>
      </w:rPr>
      <w:t>,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prednostn</w:t>
    </w:r>
    <w:r>
      <w:rPr>
        <w:rFonts w:asciiTheme="majorHAnsi" w:hAnsiTheme="majorHAnsi" w:cstheme="majorHAnsi"/>
        <w:i/>
        <w:sz w:val="16"/>
        <w:szCs w:val="16"/>
        <w:lang w:val="sl-SI"/>
      </w:rPr>
      <w:t>e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naložb</w:t>
    </w:r>
    <w:r>
      <w:rPr>
        <w:rFonts w:asciiTheme="majorHAnsi" w:hAnsiTheme="majorHAnsi" w:cstheme="majorHAnsi"/>
        <w:i/>
        <w:sz w:val="16"/>
        <w:szCs w:val="16"/>
        <w:lang w:val="sl-SI"/>
      </w:rPr>
      <w:t>e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10.3: Vlaganje v</w:t>
    </w:r>
    <w:r>
      <w:rPr>
        <w:rFonts w:asciiTheme="majorHAnsi" w:hAnsiTheme="majorHAnsi" w:cstheme="majorHAnsi"/>
        <w:i/>
        <w:sz w:val="16"/>
        <w:szCs w:val="16"/>
        <w:lang w:val="sl-SI"/>
      </w:rPr>
      <w:t xml:space="preserve"> spretnosti, 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izobraževanje</w:t>
    </w:r>
    <w:r>
      <w:rPr>
        <w:rFonts w:asciiTheme="majorHAnsi" w:hAnsiTheme="majorHAnsi" w:cstheme="majorHAnsi"/>
        <w:i/>
        <w:sz w:val="16"/>
        <w:szCs w:val="16"/>
        <w:lang w:val="sl-SI"/>
      </w:rPr>
      <w:t xml:space="preserve"> ter 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>vseživljenjsko učenje z razvojem infrastrukture</w:t>
    </w:r>
    <w:r>
      <w:rPr>
        <w:rFonts w:asciiTheme="majorHAnsi" w:hAnsiTheme="majorHAnsi" w:cstheme="majorHAnsi"/>
        <w:i/>
        <w:sz w:val="16"/>
        <w:szCs w:val="16"/>
        <w:lang w:val="sl-SI"/>
      </w:rPr>
      <w:t xml:space="preserve">, 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>specifičn</w:t>
    </w:r>
    <w:r>
      <w:rPr>
        <w:rFonts w:asciiTheme="majorHAnsi" w:hAnsiTheme="majorHAnsi" w:cstheme="majorHAnsi"/>
        <w:i/>
        <w:sz w:val="16"/>
        <w:szCs w:val="16"/>
        <w:lang w:val="sl-SI"/>
      </w:rPr>
      <w:t>ega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cilj</w:t>
    </w:r>
    <w:r>
      <w:rPr>
        <w:rFonts w:asciiTheme="majorHAnsi" w:hAnsiTheme="majorHAnsi" w:cstheme="majorHAnsi"/>
        <w:i/>
        <w:sz w:val="16"/>
        <w:szCs w:val="16"/>
        <w:lang w:val="sl-SI"/>
      </w:rPr>
      <w:t>a 10.3.1.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>: Izboljšanje kompetenc in dosežkov mladih ter večja usposobljenost izobraževalcev prek</w:t>
    </w:r>
    <w:r>
      <w:rPr>
        <w:rFonts w:asciiTheme="majorHAnsi" w:hAnsiTheme="majorHAnsi" w:cstheme="majorHAnsi"/>
        <w:i/>
        <w:sz w:val="16"/>
        <w:szCs w:val="16"/>
        <w:lang w:val="sl-SI"/>
      </w:rPr>
      <w:t>o</w:t>
    </w:r>
    <w:r w:rsidRPr="003A1EA8">
      <w:rPr>
        <w:rFonts w:asciiTheme="majorHAnsi" w:hAnsiTheme="majorHAnsi" w:cstheme="majorHAnsi"/>
        <w:i/>
        <w:sz w:val="16"/>
        <w:szCs w:val="16"/>
        <w:lang w:val="sl-SI"/>
      </w:rPr>
      <w:t xml:space="preserve"> večje uporabe sodobne IKT pri poučevanju in učenju</w:t>
    </w:r>
    <w:r>
      <w:rPr>
        <w:rFonts w:asciiTheme="majorHAnsi" w:hAnsiTheme="majorHAnsi" w:cstheme="majorHAnsi"/>
        <w:i/>
        <w:sz w:val="16"/>
        <w:szCs w:val="16"/>
        <w:lang w:val="sl-SI"/>
      </w:rPr>
      <w:t xml:space="preserve"> oziroma skladnost s cilji in rezultati prednostne osi oziroma prednostne naložbe.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158EA" w:rsidRPr="003A1EA8" w14:paraId="4053DE64" w14:textId="77777777" w:rsidTr="001B6AFC">
      <w:tc>
        <w:tcPr>
          <w:tcW w:w="4833" w:type="dxa"/>
          <w:shd w:val="clear" w:color="auto" w:fill="auto"/>
        </w:tcPr>
        <w:p w14:paraId="6873EC90" w14:textId="77777777" w:rsidR="003158EA" w:rsidRPr="003A1EA8" w:rsidRDefault="003158EA" w:rsidP="003158EA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A1EA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                                                </w:t>
          </w:r>
        </w:p>
      </w:tc>
      <w:tc>
        <w:tcPr>
          <w:tcW w:w="4806" w:type="dxa"/>
          <w:shd w:val="clear" w:color="auto" w:fill="auto"/>
          <w:vAlign w:val="center"/>
        </w:tcPr>
        <w:p w14:paraId="424731F2" w14:textId="77777777" w:rsidR="003158EA" w:rsidRPr="003A1EA8" w:rsidRDefault="003158EA" w:rsidP="003158EA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12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39D47044" w14:textId="77777777" w:rsidR="003158EA" w:rsidRDefault="00315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F86AE" w14:textId="77777777" w:rsidR="00AE0041" w:rsidRDefault="00AE0041" w:rsidP="00CB4327">
      <w:pPr>
        <w:spacing w:after="0" w:line="240" w:lineRule="auto"/>
      </w:pPr>
      <w:r>
        <w:separator/>
      </w:r>
    </w:p>
  </w:footnote>
  <w:footnote w:type="continuationSeparator" w:id="0">
    <w:p w14:paraId="53AC8239" w14:textId="77777777" w:rsidR="00AE0041" w:rsidRDefault="00AE004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009AC352" w:rsidR="00CB1FD3" w:rsidRDefault="003158EA">
    <w:pPr>
      <w:pStyle w:val="Header"/>
    </w:pPr>
    <w:r>
      <w:rPr>
        <w:noProof/>
      </w:rPr>
      <w:drawing>
        <wp:inline distT="0" distB="0" distL="0" distR="0" wp14:anchorId="27904A8E" wp14:editId="79EFD3BC">
          <wp:extent cx="5840730" cy="725170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158EA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6753"/>
    <w:rsid w:val="00AB7A8D"/>
    <w:rsid w:val="00AC31FB"/>
    <w:rsid w:val="00AE0041"/>
    <w:rsid w:val="00AF69DE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15</cp:revision>
  <dcterms:created xsi:type="dcterms:W3CDTF">2016-04-12T08:55:00Z</dcterms:created>
  <dcterms:modified xsi:type="dcterms:W3CDTF">2020-08-07T09:06:00Z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1046">
    <vt:lpwstr>Nakup internetnih usmerjevalnikov</vt:lpwstr>
  </property>
  <property fmtid="{D5CDD505-2E9C-101B-9397-08002B2CF9AE}" pid="6" name="MFiles_PG5BC2FC14A405421BA79F5FEC63BD00E3n1_PGB3D8D77D2D654902AEB821305A1A12BC">
    <vt:lpwstr>1000 Ljubljana</vt:lpwstr>
  </property>
</Properties>
</file>