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tbl>
      <w:tblPr>
        <w:tblStyle w:val="TableNormal"/>
        <w:name w:val="Table2"/>
        <w:tabOrder w:val="0"/>
        <w:jc w:val="center"/>
        <w:tblInd w:w="0" w:type="dxa"/>
        <w:tblW w:w="9067" w:type="dxa"/>
        <w:tblLook w:val="04A0" w:firstRow="1" w:lastRow="0" w:firstColumn="1" w:lastColumn="0" w:noHBand="0" w:noVBand="1"/>
      </w:tblPr>
      <w:tblGrid>
        <w:gridCol w:w="2402"/>
        <w:gridCol w:w="6665"/>
      </w:tblGrid>
      <w:tr>
        <w:trPr>
          <w:cantSplit w:val="0"/>
          <w:trHeight w:val="20" w:hRule="atLeast"/>
        </w:trPr>
        <w:tc>
          <w:tcPr>
            <w:tcW w:w="9067" w:type="dxa"/>
            <w:gridSpan w:val="2"/>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center"/>
              <w:widowControl w:val="0"/>
              <w:rPr>
                <w:rFonts w:ascii="Verdana" w:hAnsi="Verdana"/>
                <w:sz w:val="20"/>
                <w:szCs w:val="20"/>
                <w:lang w:val="sl-si"/>
              </w:rPr>
            </w:pPr>
            <w:r>
              <w:rPr>
                <w:rFonts w:ascii="Verdana" w:hAnsi="Verdana"/>
                <w:b/>
                <w:sz w:val="20"/>
                <w:szCs w:val="20"/>
                <w:lang w:val="sl-si"/>
              </w:rPr>
              <w:t>NAROČNIK</w:t>
            </w:r>
            <w:r>
              <w:rPr>
                <w:rFonts w:ascii="Verdana" w:hAnsi="Verdana"/>
                <w:sz w:val="20"/>
                <w:szCs w:val="20"/>
                <w:lang w:val="sl-si"/>
              </w:rPr>
            </w:r>
          </w:p>
        </w:tc>
      </w:tr>
      <w:tr>
        <w:trPr>
          <w:cantSplit w:val="0"/>
          <w:trHeight w:val="20" w:hRule="atLeast"/>
        </w:trPr>
        <w:tc>
          <w:tcPr>
            <w:tcW w:w="2402"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t>Naziv in sedež</w:t>
            </w:r>
          </w:p>
        </w:tc>
        <w:tc>
          <w:tcPr>
            <w:tcW w:w="6665"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t>Splošna bolnišnica dr. Jožeta Potrča Ptuj</w:t>
            </w:r>
          </w:p>
          <w:p>
            <w:pPr>
              <w:spacing w:after="0" w:line="240" w:lineRule="auto"/>
              <w:widowControl w:val="0"/>
              <w:rPr>
                <w:rFonts w:ascii="Verdana" w:hAnsi="Verdana"/>
                <w:b/>
                <w:sz w:val="20"/>
                <w:szCs w:val="20"/>
                <w:lang w:val="sl-si"/>
              </w:rPr>
            </w:pPr>
            <w:r>
              <w:rPr>
                <w:rFonts w:ascii="Verdana" w:hAnsi="Verdana"/>
                <w:b/>
                <w:sz w:val="20"/>
                <w:szCs w:val="20"/>
                <w:lang w:val="sl-si"/>
              </w:rPr>
              <w:t>Potrčeva cesta 23</w:t>
            </w:r>
          </w:p>
          <w:p>
            <w:pPr>
              <w:spacing w:after="0" w:line="240" w:lineRule="auto"/>
              <w:widowControl w:val="0"/>
              <w:rPr>
                <w:rFonts w:ascii="Verdana" w:hAnsi="Verdana"/>
                <w:b/>
                <w:sz w:val="20"/>
                <w:szCs w:val="20"/>
                <w:lang w:val="sl-si"/>
              </w:rPr>
            </w:pPr>
            <w:r>
              <w:rPr>
                <w:rFonts w:ascii="Verdana" w:hAnsi="Verdana"/>
                <w:b/>
                <w:sz w:val="20"/>
                <w:szCs w:val="20"/>
                <w:lang w:val="sl-si"/>
              </w:rPr>
              <w:t>2250 Ptuj</w:t>
            </w:r>
          </w:p>
        </w:tc>
      </w:tr>
      <w:tr>
        <w:trPr>
          <w:cantSplit w:val="0"/>
          <w:trHeight w:val="20" w:hRule="atLeast"/>
        </w:trPr>
        <w:tc>
          <w:tcPr>
            <w:tcW w:w="2402"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t>ID št. za DDV</w:t>
            </w:r>
          </w:p>
        </w:tc>
        <w:tc>
          <w:tcPr>
            <w:tcW w:w="6665"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t>SI35767294</w:t>
            </w:r>
          </w:p>
        </w:tc>
      </w:tr>
      <w:tr>
        <w:trPr>
          <w:cantSplit w:val="0"/>
          <w:trHeight w:val="20" w:hRule="atLeast"/>
        </w:trPr>
        <w:tc>
          <w:tcPr>
            <w:tcW w:w="2402"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t>Matična številka</w:t>
            </w:r>
          </w:p>
        </w:tc>
        <w:tc>
          <w:tcPr>
            <w:tcW w:w="6665"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t>5054796000</w:t>
            </w:r>
          </w:p>
        </w:tc>
      </w:tr>
      <w:tr>
        <w:trPr>
          <w:cantSplit w:val="0"/>
          <w:trHeight w:val="20" w:hRule="atLeast"/>
        </w:trPr>
        <w:tc>
          <w:tcPr>
            <w:tcW w:w="2402"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t>Transakcijski račun</w:t>
            </w:r>
          </w:p>
        </w:tc>
        <w:tc>
          <w:tcPr>
            <w:tcW w:w="6665"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t>SI56 0110 0603 0278 670</w:t>
            </w:r>
          </w:p>
        </w:tc>
      </w:tr>
      <w:tr>
        <w:trPr>
          <w:cantSplit w:val="0"/>
          <w:trHeight w:val="20" w:hRule="atLeast"/>
        </w:trPr>
        <w:tc>
          <w:tcPr>
            <w:tcW w:w="2402"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t>Telefon</w:t>
            </w:r>
          </w:p>
        </w:tc>
        <w:tc>
          <w:tcPr>
            <w:tcW w:w="6665"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cantSplit w:val="0"/>
          <w:trHeight w:val="20" w:hRule="atLeast"/>
        </w:trPr>
        <w:tc>
          <w:tcPr>
            <w:tcW w:w="2402"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t>E-pošta</w:t>
            </w:r>
          </w:p>
        </w:tc>
        <w:tc>
          <w:tcPr>
            <w:tcW w:w="6665"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cantSplit w:val="0"/>
          <w:trHeight w:val="20" w:hRule="atLeast"/>
        </w:trPr>
        <w:tc>
          <w:tcPr>
            <w:tcW w:w="2402"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t>Skrbnik pogodbe</w:t>
            </w:r>
          </w:p>
        </w:tc>
        <w:tc>
          <w:tcPr>
            <w:tcW w:w="6665"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cantSplit w:val="0"/>
          <w:trHeight w:val="20" w:hRule="atLeast"/>
        </w:trPr>
        <w:tc>
          <w:tcPr>
            <w:tcW w:w="2402"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t>Podpisnik</w:t>
            </w:r>
          </w:p>
        </w:tc>
        <w:tc>
          <w:tcPr>
            <w:tcW w:w="6665"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t>Anica Užmah, mag. posl. ved</w:t>
            </w:r>
          </w:p>
        </w:tc>
      </w:tr>
    </w:tbl>
    <w:p>
      <w:pPr>
        <w:spacing w:after="0" w:line="240" w:lineRule="auto"/>
        <w:jc w:val="both"/>
        <w:rPr>
          <w:rFonts w:ascii="Verdana" w:hAnsi="Verdana" w:cs="Arial"/>
          <w:b/>
          <w:sz w:val="20"/>
          <w:szCs w:val="20"/>
          <w:lang w:val="it-it"/>
        </w:rPr>
      </w:pPr>
      <w:r>
        <w:rPr>
          <w:rFonts w:ascii="Verdana" w:hAnsi="Verdana" w:cs="Arial"/>
          <w:b/>
          <w:sz w:val="20"/>
          <w:szCs w:val="20"/>
          <w:lang w:val="it-it"/>
        </w:rPr>
      </w:r>
    </w:p>
    <w:p>
      <w:pPr>
        <w:spacing w:after="0" w:line="240" w:lineRule="auto"/>
        <w:jc w:val="both"/>
        <w:rPr>
          <w:rFonts w:ascii="Verdana" w:hAnsi="Verdana" w:cs="Arial"/>
          <w:bCs/>
          <w:sz w:val="20"/>
          <w:szCs w:val="20"/>
        </w:rPr>
      </w:pPr>
      <w:r>
        <w:rPr>
          <w:rFonts w:ascii="Verdana" w:hAnsi="Verdana" w:cs="Arial"/>
          <w:bCs/>
          <w:sz w:val="20"/>
          <w:szCs w:val="20"/>
        </w:rPr>
        <w:t>in</w:t>
      </w:r>
    </w:p>
    <w:p>
      <w:pPr>
        <w:spacing w:after="0" w:line="240" w:lineRule="auto"/>
        <w:jc w:val="both"/>
        <w:rPr>
          <w:rFonts w:ascii="Verdana" w:hAnsi="Verdana" w:cs="Arial"/>
          <w:b/>
          <w:sz w:val="20"/>
          <w:szCs w:val="20"/>
        </w:rPr>
      </w:pPr>
      <w:r>
        <w:rPr>
          <w:rFonts w:ascii="Verdana" w:hAnsi="Verdana" w:cs="Arial"/>
          <w:b/>
          <w:sz w:val="20"/>
          <w:szCs w:val="20"/>
        </w:rPr>
      </w:r>
    </w:p>
    <w:tbl>
      <w:tblPr>
        <w:tblStyle w:val="TableNormal"/>
        <w:name w:val="Table3"/>
        <w:tabOrder w:val="0"/>
        <w:jc w:val="center"/>
        <w:tblInd w:w="0" w:type="dxa"/>
        <w:tblW w:w="9072" w:type="dxa"/>
        <w:tblLook w:val="04A0" w:firstRow="1" w:lastRow="0" w:firstColumn="1" w:lastColumn="0" w:noHBand="0" w:noVBand="1"/>
      </w:tblPr>
      <w:tblGrid>
        <w:gridCol w:w="1989"/>
        <w:gridCol w:w="2548"/>
        <w:gridCol w:w="2125"/>
        <w:gridCol w:w="2410"/>
      </w:tblGrid>
      <w:tr>
        <w:trPr>
          <w:cantSplit w:val="0"/>
          <w:trHeight w:val="20" w:hRule="atLeast"/>
        </w:trPr>
        <w:tc>
          <w:tcPr>
            <w:tcW w:w="19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b/>
                <w:sz w:val="20"/>
                <w:szCs w:val="20"/>
                <w:lang w:val="sl-si"/>
              </w:rPr>
            </w:pPr>
            <w:r>
              <w:rPr>
                <w:rFonts w:ascii="Verdana" w:hAnsi="Verdana"/>
                <w:b/>
                <w:sz w:val="20"/>
                <w:szCs w:val="20"/>
                <w:lang w:val="sl-si"/>
              </w:rPr>
              <w:t>IZVAJALEC</w:t>
            </w:r>
          </w:p>
        </w:tc>
        <w:tc>
          <w:tcPr>
            <w:tcW w:w="2548"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Poslovodeči partner</w:t>
            </w:r>
          </w:p>
        </w:tc>
        <w:tc>
          <w:tcPr>
            <w:tcW w:w="2125"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Partner 2</w:t>
            </w:r>
          </w:p>
        </w:tc>
        <w:tc>
          <w:tcPr>
            <w:tcW w:w="2410"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Partner 3</w:t>
            </w:r>
          </w:p>
        </w:tc>
      </w:tr>
      <w:tr>
        <w:trPr>
          <w:cantSplit w:val="0"/>
          <w:trHeight w:val="20" w:hRule="atLeast"/>
        </w:trPr>
        <w:tc>
          <w:tcPr>
            <w:tcW w:w="19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b/>
                <w:sz w:val="20"/>
                <w:szCs w:val="20"/>
                <w:lang w:val="sl-si"/>
              </w:rPr>
              <w:t>Naziv in sedež</w:t>
            </w:r>
            <w:r>
              <w:rPr>
                <w:rFonts w:ascii="Verdana" w:hAnsi="Verdana"/>
                <w:sz w:val="20"/>
                <w:szCs w:val="20"/>
                <w:lang w:val="sl-si"/>
              </w:rPr>
            </w:r>
          </w:p>
        </w:tc>
        <w:tc>
          <w:tcPr>
            <w:tcW w:w="2548"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r>
          </w:p>
        </w:tc>
        <w:tc>
          <w:tcPr>
            <w:tcW w:w="2125"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r>
          </w:p>
        </w:tc>
        <w:tc>
          <w:tcPr>
            <w:tcW w:w="2410"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r>
          </w:p>
        </w:tc>
      </w:tr>
      <w:tr>
        <w:trPr>
          <w:cantSplit w:val="0"/>
          <w:trHeight w:val="20" w:hRule="atLeast"/>
        </w:trPr>
        <w:tc>
          <w:tcPr>
            <w:tcW w:w="19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b/>
                <w:sz w:val="20"/>
                <w:szCs w:val="20"/>
                <w:lang w:val="sl-si"/>
              </w:rPr>
              <w:t>ID št. za DDV</w:t>
            </w:r>
            <w:r>
              <w:rPr>
                <w:rFonts w:ascii="Verdana" w:hAnsi="Verdana"/>
                <w:sz w:val="20"/>
                <w:szCs w:val="20"/>
                <w:lang w:val="sl-si"/>
              </w:rPr>
            </w:r>
          </w:p>
        </w:tc>
        <w:tc>
          <w:tcPr>
            <w:tcW w:w="2548"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125"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410"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cantSplit w:val="0"/>
          <w:trHeight w:val="20" w:hRule="atLeast"/>
        </w:trPr>
        <w:tc>
          <w:tcPr>
            <w:tcW w:w="19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b/>
                <w:sz w:val="20"/>
                <w:szCs w:val="20"/>
                <w:lang w:val="sl-si"/>
              </w:rPr>
              <w:t>Matična številka</w:t>
            </w:r>
            <w:r>
              <w:rPr>
                <w:rFonts w:ascii="Verdana" w:hAnsi="Verdana"/>
                <w:sz w:val="20"/>
                <w:szCs w:val="20"/>
                <w:lang w:val="sl-si"/>
              </w:rPr>
            </w:r>
          </w:p>
        </w:tc>
        <w:tc>
          <w:tcPr>
            <w:tcW w:w="2548"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125"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410"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cantSplit w:val="0"/>
          <w:trHeight w:val="20" w:hRule="atLeast"/>
        </w:trPr>
        <w:tc>
          <w:tcPr>
            <w:tcW w:w="19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b/>
                <w:sz w:val="20"/>
                <w:szCs w:val="20"/>
                <w:lang w:val="sl-si"/>
              </w:rPr>
              <w:t>Transakcijski račun</w:t>
            </w:r>
            <w:r>
              <w:rPr>
                <w:rFonts w:ascii="Verdana" w:hAnsi="Verdana"/>
                <w:sz w:val="20"/>
                <w:szCs w:val="20"/>
                <w:lang w:val="sl-si"/>
              </w:rPr>
            </w:r>
          </w:p>
        </w:tc>
        <w:tc>
          <w:tcPr>
            <w:tcW w:w="2548"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125"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410"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cantSplit w:val="0"/>
          <w:trHeight w:val="20" w:hRule="atLeast"/>
        </w:trPr>
        <w:tc>
          <w:tcPr>
            <w:tcW w:w="19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b/>
                <w:sz w:val="20"/>
                <w:szCs w:val="20"/>
                <w:lang w:val="sl-si"/>
              </w:rPr>
              <w:t>Telefon</w:t>
            </w:r>
            <w:r>
              <w:rPr>
                <w:rFonts w:ascii="Verdana" w:hAnsi="Verdana"/>
                <w:sz w:val="20"/>
                <w:szCs w:val="20"/>
                <w:lang w:val="sl-si"/>
              </w:rPr>
            </w:r>
          </w:p>
        </w:tc>
        <w:tc>
          <w:tcPr>
            <w:tcW w:w="2548"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125"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410"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cantSplit w:val="0"/>
          <w:trHeight w:val="20" w:hRule="atLeast"/>
        </w:trPr>
        <w:tc>
          <w:tcPr>
            <w:tcW w:w="19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b/>
                <w:sz w:val="20"/>
                <w:szCs w:val="20"/>
                <w:lang w:val="sl-si"/>
              </w:rPr>
              <w:t>E-pošta</w:t>
            </w:r>
            <w:r>
              <w:rPr>
                <w:rFonts w:ascii="Verdana" w:hAnsi="Verdana"/>
                <w:sz w:val="20"/>
                <w:szCs w:val="20"/>
                <w:lang w:val="sl-si"/>
              </w:rPr>
            </w:r>
          </w:p>
        </w:tc>
        <w:tc>
          <w:tcPr>
            <w:tcW w:w="2548"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125"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410"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t>...</w:t>
            </w:r>
          </w:p>
        </w:tc>
      </w:tr>
      <w:tr>
        <w:trPr>
          <w:cantSplit w:val="0"/>
          <w:trHeight w:val="20" w:hRule="atLeast"/>
        </w:trPr>
        <w:tc>
          <w:tcPr>
            <w:tcW w:w="19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b/>
                <w:sz w:val="20"/>
                <w:szCs w:val="20"/>
                <w:lang w:val="sl-si"/>
              </w:rPr>
              <w:t>Skrbnik pogodbe</w:t>
            </w:r>
            <w:r>
              <w:rPr>
                <w:rFonts w:ascii="Verdana" w:hAnsi="Verdana"/>
                <w:sz w:val="20"/>
                <w:szCs w:val="20"/>
                <w:lang w:val="sl-si"/>
              </w:rPr>
            </w:r>
          </w:p>
        </w:tc>
        <w:tc>
          <w:tcPr>
            <w:tcW w:w="7083" w:type="dxa"/>
            <w:gridSpan w:val="3"/>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cantSplit w:val="0"/>
          <w:trHeight w:val="20" w:hRule="atLeast"/>
        </w:trPr>
        <w:tc>
          <w:tcPr>
            <w:tcW w:w="19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b/>
                <w:sz w:val="20"/>
                <w:szCs w:val="20"/>
                <w:lang w:val="sl-si"/>
              </w:rPr>
              <w:t>Podpisnik</w:t>
            </w:r>
            <w:r>
              <w:rPr>
                <w:rFonts w:ascii="Verdana" w:hAnsi="Verdana"/>
                <w:sz w:val="20"/>
                <w:szCs w:val="20"/>
                <w:lang w:val="sl-si"/>
              </w:rPr>
            </w:r>
          </w:p>
        </w:tc>
        <w:tc>
          <w:tcPr>
            <w:tcW w:w="7083" w:type="dxa"/>
            <w:gridSpan w:val="3"/>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bl>
    <w:p>
      <w:pPr>
        <w:spacing w:before="120" w:after="120" w:line="240" w:lineRule="auto"/>
        <w:jc w:val="both"/>
        <w:widowControl w:val="0"/>
        <w:rPr>
          <w:rFonts w:ascii="Verdana" w:hAnsi="Verdana"/>
          <w:sz w:val="20"/>
          <w:szCs w:val="20"/>
          <w:lang w:val="sl-si"/>
        </w:rPr>
      </w:pPr>
      <w:r>
        <w:rPr>
          <w:rFonts w:ascii="Verdana" w:hAnsi="Verdana"/>
          <w:sz w:val="20"/>
          <w:szCs w:val="20"/>
          <w:lang w:val="sl-si"/>
        </w:rPr>
      </w:r>
    </w:p>
    <w:p>
      <w:pPr>
        <w:spacing w:before="120" w:after="120" w:line="240" w:lineRule="auto"/>
        <w:jc w:val="both"/>
        <w:widowControl w:val="0"/>
        <w:rPr>
          <w:rFonts w:ascii="Verdana" w:hAnsi="Verdana"/>
          <w:sz w:val="20"/>
          <w:szCs w:val="20"/>
          <w:lang w:val="sl-si"/>
        </w:rPr>
      </w:pPr>
      <w:r>
        <w:rPr>
          <w:rFonts w:ascii="Verdana" w:hAnsi="Verdana"/>
          <w:sz w:val="20"/>
          <w:szCs w:val="20"/>
          <w:lang w:val="sl-si"/>
        </w:rPr>
        <w:t>Sklepata</w:t>
      </w:r>
    </w:p>
    <w:p>
      <w:pPr>
        <w:spacing w:before="120" w:after="120" w:line="240" w:lineRule="auto"/>
        <w:jc w:val="both"/>
        <w:widowControl w:val="0"/>
        <w:rPr>
          <w:rFonts w:ascii="Verdana" w:hAnsi="Verdana"/>
          <w:sz w:val="20"/>
          <w:szCs w:val="20"/>
          <w:lang w:val="sl-si"/>
        </w:rPr>
      </w:pPr>
      <w:r>
        <w:rPr>
          <w:rFonts w:ascii="Verdana" w:hAnsi="Verdana"/>
          <w:sz w:val="20"/>
          <w:szCs w:val="20"/>
          <w:lang w:val="sl-si"/>
        </w:rPr>
      </w:r>
    </w:p>
    <w:tbl>
      <w:tblPr>
        <w:tblStyle w:val="TableNormal"/>
        <w:name w:val="Table4"/>
        <w:tabOrder w:val="0"/>
        <w:jc w:val="center"/>
        <w:tblInd w:w="0" w:type="dxa"/>
        <w:tblW w:w="9694" w:type="dxa"/>
        <w:tblLook w:val="04A0" w:firstRow="1" w:lastRow="0" w:firstColumn="1" w:lastColumn="0" w:noHBand="0" w:noVBand="1"/>
      </w:tblPr>
      <w:tblGrid>
        <w:gridCol w:w="9694"/>
      </w:tblGrid>
      <w:tr>
        <w:trPr>
          <w:cantSplit w:val="0"/>
          <w:trHeight w:val="20" w:hRule="atLeast"/>
        </w:trPr>
        <w:tc>
          <w:tcPr>
            <w:tcW w:w="9694"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POGODBO O ZAGOTAVLJANJU NIVOJA STORITEV VZDRŽEVANJA, PODPORE IN NADGRADENJ INFORMACIJSKEGA SISTEMA ZA PODPORO ZDRAVSTVU (SLA) številka &lt;</w:t>
            </w:r>
            <w:r>
              <w:rPr>
                <w:rFonts w:ascii="Verdana" w:hAnsi="Verdana"/>
                <w:b/>
                <w:highlight w:val="lightGray"/>
                <w:sz w:val="20"/>
                <w:szCs w:val="20"/>
                <w:lang w:val="sl-si"/>
              </w:rPr>
              <w:t>številka pogodbe</w:t>
            </w:r>
            <w:r>
              <w:rPr>
                <w:rFonts w:ascii="Verdana" w:hAnsi="Verdana"/>
                <w:b/>
                <w:sz w:val="20"/>
                <w:szCs w:val="20"/>
                <w:lang w:val="sl-si"/>
              </w:rPr>
              <w:t>&gt;</w:t>
            </w:r>
          </w:p>
        </w:tc>
      </w:tr>
    </w:tbl>
    <w:p>
      <w:pPr>
        <w:spacing w:after="0" w:line="240" w:lineRule="auto"/>
        <w:jc w:val="both"/>
        <w:widowControl w:val="0"/>
        <w:rPr>
          <w:rFonts w:ascii="Verdana" w:hAnsi="Verdana"/>
          <w:sz w:val="20"/>
          <w:szCs w:val="20"/>
          <w:lang w:val="sl-si"/>
        </w:rPr>
      </w:pPr>
      <w:r>
        <w:rPr>
          <w:rFonts w:ascii="Verdana" w:hAnsi="Verdana"/>
          <w:sz w:val="20"/>
          <w:szCs w:val="20"/>
          <w:lang w:val="sl-si"/>
        </w:rPr>
      </w:r>
    </w:p>
    <w:p>
      <w:pPr>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UVODNE UGOTOVITVE</w:t>
      </w:r>
    </w:p>
    <w:p>
      <w:pPr>
        <w:pStyle w:val="para38"/>
        <w:numPr>
          <w:ilvl w:val="0"/>
          <w:numId w:val="21"/>
        </w:numPr>
        <w:ind w:left="714" w:hanging="357"/>
        <w:spacing w:after="120" w:line="240" w:lineRule="auto"/>
        <w:jc w:val="both"/>
        <w:widowControl w:val="0"/>
        <w:rPr>
          <w:rFonts w:ascii="Verdana" w:hAnsi="Verdana"/>
          <w:sz w:val="20"/>
          <w:szCs w:val="20"/>
          <w:lang w:val="sl-si"/>
        </w:rPr>
      </w:pPr>
      <w:r>
        <w:rPr>
          <w:rFonts w:ascii="Verdana" w:hAnsi="Verdana" w:cs="Arial"/>
          <w:sz w:val="20"/>
          <w:szCs w:val="20"/>
          <w:lang w:val="sl-si"/>
        </w:rPr>
        <w:t xml:space="preserve">Pogodbeni stranki ugotavljata, je bil izvajalec na podlagi javnega naročila  izbran za </w:t>
      </w:r>
      <w:r>
        <w:rPr>
          <w:rFonts w:ascii="Verdana" w:hAnsi="Verdana" w:eastAsia="DejaVu Sans" w:cs="DejaVu Sans"/>
          <w:sz w:val="20"/>
          <w:szCs w:val="20"/>
          <w:lang w:val="sl-si" w:bidi="en-us"/>
        </w:rPr>
        <w:t>uvedbo</w:t>
      </w:r>
      <w:r>
        <w:rPr>
          <w:rFonts w:ascii="Verdana" w:hAnsi="Verdana" w:eastAsia="DejaVu Sans" w:cs="DejaVu Sans"/>
          <w:sz w:val="20"/>
          <w:szCs w:val="20"/>
          <w:lang w:bidi="en-us"/>
        </w:rPr>
        <w:t xml:space="preserve"> </w:t>
      </w:r>
      <w:r>
        <w:rPr>
          <w:rFonts w:ascii="Verdana" w:hAnsi="Verdana" w:eastAsia="DejaVu Sans" w:cs="DejaVu Sans"/>
          <w:sz w:val="20"/>
          <w:szCs w:val="20"/>
          <w:lang w:val="sl-si" w:bidi="en-us"/>
        </w:rPr>
        <w:t xml:space="preserve">novega v slovenski zdravstveni prostor integriranega informacijskega sistema za podporo </w:t>
      </w:r>
      <w:r>
        <w:rPr>
          <w:rFonts w:ascii="Verdana" w:hAnsi="Verdana" w:eastAsia="DejaVu Sans" w:cs="DejaVu Sans"/>
          <w:sz w:val="20"/>
          <w:szCs w:val="20"/>
          <w:lang w:val="sl-si" w:bidi="en-us"/>
        </w:rPr>
        <w:t>zdravstvu</w:t>
      </w:r>
      <w:r>
        <w:rPr>
          <w:rFonts w:ascii="Verdana" w:hAnsi="Verdana" w:cs="Arial"/>
          <w:sz w:val="20"/>
          <w:szCs w:val="20"/>
          <w:lang w:val="sl-si"/>
        </w:rPr>
        <w:t xml:space="preserve"> na podlagi sklenjene pogodbe št. </w:t>
      </w:r>
      <w:r>
        <w:rPr>
          <w:rFonts w:ascii="Verdana" w:hAnsi="Verdana" w:cs="Arial"/>
          <w:sz w:val="20"/>
          <w:szCs w:val="20"/>
          <w:lang w:val="sl-si"/>
        </w:rPr>
        <w:t>_______</w:t>
      </w:r>
      <w:r>
        <w:rPr>
          <w:rFonts w:ascii="Verdana" w:hAnsi="Verdana" w:cs="Arial"/>
          <w:sz w:val="20"/>
          <w:szCs w:val="20"/>
          <w:lang w:val="sl-si"/>
        </w:rPr>
        <w:t xml:space="preserve"> z dne </w:t>
      </w:r>
      <w:r>
        <w:rPr>
          <w:rFonts w:ascii="Verdana" w:hAnsi="Verdana" w:cs="Arial"/>
          <w:sz w:val="20"/>
          <w:szCs w:val="20"/>
          <w:lang w:val="sl-si"/>
        </w:rPr>
        <w:t>___________</w:t>
      </w:r>
      <w:r>
        <w:rPr>
          <w:rFonts w:ascii="Verdana" w:hAnsi="Verdana" w:cs="Arial"/>
          <w:sz w:val="20"/>
          <w:szCs w:val="20"/>
          <w:lang w:val="sl-si"/>
        </w:rPr>
        <w:t>.</w:t>
      </w:r>
      <w:r>
        <w:rPr>
          <w:rFonts w:ascii="Verdana" w:hAnsi="Verdana"/>
          <w:sz w:val="20"/>
          <w:szCs w:val="20"/>
          <w:lang w:val="sl-si"/>
        </w:rPr>
      </w:r>
    </w:p>
    <w:p>
      <w:pPr>
        <w:spacing w:after="0" w:line="240" w:lineRule="auto"/>
        <w:jc w:val="both"/>
        <w:rPr>
          <w:rFonts w:ascii="Verdana" w:hAnsi="Verdana" w:cs="Arial"/>
          <w:sz w:val="20"/>
          <w:szCs w:val="20"/>
          <w:lang w:val="sl-si"/>
        </w:rPr>
      </w:pPr>
      <w:r>
        <w:rPr>
          <w:rFonts w:ascii="Verdana" w:hAnsi="Verdana" w:cs="Arial"/>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PREDMET POGODBE</w:t>
      </w:r>
    </w:p>
    <w:p>
      <w:pPr>
        <w:pStyle w:val="para38"/>
        <w:numPr>
          <w:ilvl w:val="0"/>
          <w:numId w:val="22"/>
        </w:numPr>
        <w:ind w:left="720" w:hanging="360"/>
        <w:spacing w:after="0" w:line="240" w:lineRule="auto"/>
        <w:jc w:val="both"/>
        <w:widowControl w:val="0"/>
        <w:rPr>
          <w:rFonts w:ascii="Verdana" w:hAnsi="Verdana"/>
          <w:sz w:val="20"/>
          <w:szCs w:val="20"/>
          <w:lang w:val="sl-si"/>
        </w:rPr>
      </w:pPr>
      <w:r>
        <w:rPr>
          <w:rFonts w:ascii="Verdana" w:hAnsi="Verdana" w:cs="Arial"/>
          <w:sz w:val="20"/>
          <w:szCs w:val="20"/>
          <w:lang w:val="sl-si"/>
        </w:rPr>
        <w:t xml:space="preserve">Predmet pogodbe je urediti nivo zagotavljanja storitev iz prejšnjega člena ter dopolniti osnovno pogodbo, navedeno v prejšnjem členu. </w:t>
      </w:r>
      <w:r>
        <w:rPr>
          <w:rFonts w:ascii="Verdana" w:hAnsi="Verdana"/>
          <w:sz w:val="20"/>
          <w:szCs w:val="20"/>
          <w:lang w:val="sl-si"/>
        </w:rPr>
      </w:r>
    </w:p>
    <w:p>
      <w:pPr>
        <w:pStyle w:val="para38"/>
        <w:numPr>
          <w:ilvl w:val="0"/>
          <w:numId w:val="22"/>
        </w:numPr>
        <w:ind w:left="720" w:hanging="360"/>
        <w:spacing w:after="120" w:line="240" w:lineRule="auto"/>
        <w:jc w:val="both"/>
        <w:widowControl w:val="0"/>
        <w:rPr>
          <w:rFonts w:ascii="Verdana" w:hAnsi="Verdana"/>
          <w:sz w:val="20"/>
          <w:szCs w:val="20"/>
          <w:lang w:val="sl-si"/>
        </w:rPr>
      </w:pPr>
      <w:r>
        <w:rPr>
          <w:rFonts w:ascii="Verdana" w:hAnsi="Verdana" w:cs="Arial"/>
          <w:sz w:val="20"/>
          <w:szCs w:val="20"/>
          <w:lang w:val="sl-si"/>
        </w:rPr>
        <w:t>S to pogodbo se natančneje urejajo področja vzdrževanja IS , odprave napak in pomoči uporabnikom.</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cs="Arial"/>
          <w:sz w:val="20"/>
          <w:szCs w:val="20"/>
          <w:lang w:val="sl-si"/>
        </w:rPr>
        <w:t>VzdrževanjeIS , ki vsebuje tudi vse regulatorne prilagoditve delovanja IS, ter intervencijske posege;</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cs="Arial"/>
          <w:sz w:val="20"/>
          <w:szCs w:val="20"/>
          <w:lang w:val="sl-si"/>
        </w:rPr>
        <w:t>Prioriteto napak in roke za odpravo le teh v primeru intervencijskih posegov;</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cs="Arial"/>
          <w:sz w:val="20"/>
          <w:szCs w:val="20"/>
          <w:lang w:val="sl-si"/>
        </w:rPr>
        <w:t>Vzpostavitev sistema za izvajanje podpore</w:t>
      </w:r>
      <w:r>
        <w:rPr>
          <w:rFonts w:ascii="Verdana" w:hAnsi="Verdana"/>
          <w:sz w:val="20"/>
          <w:szCs w:val="20"/>
          <w:lang w:val="sl-si"/>
        </w:rPr>
        <w:t xml:space="preserve"> z opredelitvijo odzivni časov;</w:t>
      </w:r>
      <w:r>
        <w:rPr>
          <w:rFonts w:ascii="Verdana" w:hAnsi="Verdana"/>
          <w:sz w:val="20"/>
          <w:szCs w:val="20"/>
          <w:lang w:val="sl-si"/>
        </w:rPr>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cs="Arial"/>
          <w:sz w:val="20"/>
          <w:szCs w:val="20"/>
          <w:lang w:val="sl-si"/>
        </w:rPr>
        <w:t>Druge specifike iz naslova zagotavljanja nivoja storitev, kot je navedeno v nadaljevanju.</w:t>
      </w:r>
      <w:r>
        <w:rPr>
          <w:rFonts w:ascii="Verdana" w:hAnsi="Verdana"/>
          <w:sz w:val="20"/>
          <w:szCs w:val="20"/>
          <w:lang w:val="sl-si"/>
        </w:rPr>
      </w:r>
    </w:p>
    <w:p>
      <w:pPr>
        <w:spacing w:after="0" w:line="240" w:lineRule="auto"/>
        <w:jc w:val="both"/>
        <w:rPr>
          <w:rFonts w:ascii="Verdana" w:hAnsi="Verdana" w:cs="Arial"/>
          <w:sz w:val="20"/>
          <w:szCs w:val="20"/>
          <w:lang w:val="sl-si"/>
        </w:rPr>
      </w:pPr>
      <w:r>
        <w:rPr>
          <w:rFonts w:ascii="Verdana" w:hAnsi="Verdana" w:cs="Arial"/>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PODPORA UPORABNIKOM</w:t>
      </w:r>
    </w:p>
    <w:p>
      <w:pPr>
        <w:pStyle w:val="para38"/>
        <w:numPr>
          <w:ilvl w:val="0"/>
          <w:numId w:val="7"/>
        </w:numPr>
        <w:ind w:left="720" w:hanging="360"/>
        <w:spacing w:after="0" w:line="240" w:lineRule="auto"/>
        <w:jc w:val="both"/>
        <w:widowControl w:val="0"/>
        <w:rPr>
          <w:rFonts w:ascii="Verdana" w:hAnsi="Verdana"/>
          <w:sz w:val="20"/>
          <w:szCs w:val="20"/>
          <w:lang w:val="sl-si"/>
        </w:rPr>
      </w:pPr>
      <w:r>
        <w:rPr>
          <w:rFonts w:ascii="Verdana" w:hAnsi="Verdana" w:cs="Arial"/>
          <w:sz w:val="20"/>
          <w:szCs w:val="20"/>
          <w:lang w:val="sl-si"/>
        </w:rPr>
        <w:t>V ceni vzdrževanja je zajeta neomejena podpora uporabnikom v rednem delovnem času, to je med 8:00 in 17:00.</w:t>
      </w:r>
      <w:r>
        <w:rPr>
          <w:rFonts w:ascii="Verdana" w:hAnsi="Verdana"/>
          <w:sz w:val="20"/>
          <w:szCs w:val="20"/>
          <w:lang w:val="sl-si"/>
        </w:rPr>
      </w:r>
    </w:p>
    <w:p>
      <w:pPr>
        <w:pStyle w:val="para38"/>
        <w:numPr>
          <w:ilvl w:val="0"/>
          <w:numId w:val="7"/>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V primeru kritične in resne napake na programski opremi ter v primeru, ko uporabnik programske opreme ne more uporabljati zaradi pomanjkljivosti v nastavitvah, mora izvajalec podporo uporabnikom te programske opreme zagotoviti tudi izven časa po prejšnjem odstavku tega člena, in sicer vsak dan 24 ur na dan (izredna podpora uporabnikom) do odprave kritične napake oziroma do končne rešitve.</w:t>
      </w:r>
    </w:p>
    <w:p>
      <w:pPr>
        <w:pStyle w:val="para38"/>
        <w:numPr>
          <w:ilvl w:val="0"/>
          <w:numId w:val="7"/>
        </w:numPr>
        <w:ind w:left="720" w:hanging="360"/>
        <w:spacing w:after="120" w:line="240" w:lineRule="auto"/>
        <w:jc w:val="both"/>
        <w:widowControl w:val="0"/>
        <w:rPr>
          <w:rFonts w:ascii="Verdana" w:hAnsi="Verdana"/>
          <w:sz w:val="20"/>
          <w:szCs w:val="20"/>
          <w:lang w:val="sl-si"/>
        </w:rPr>
      </w:pPr>
      <w:r>
        <w:rPr>
          <w:rFonts w:ascii="Verdana" w:hAnsi="Verdana" w:cs="Arial"/>
          <w:sz w:val="20"/>
          <w:szCs w:val="20"/>
          <w:lang w:val="sl-si"/>
        </w:rPr>
        <w:t>Storitve podpore uporabnikom zajemajo:</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zagotavljanje razpoložljivosti in zahtevane odzivnosti izvajanja storitev podpore uporabnikom,</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telefonska pomoč ali druga pomoč preko elektronskih medijev oz. svetovnega spleta,</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sprejem opisov težav in iniciacija ter koordinacija postopka odprave težav,</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predlaganje ukrepov za nemoteno delovanje,</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odprava težav,</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spremljanje realizacije odprave identificiranih težav in vodenje evidence odprtih težav,</w:t>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dokumentiranje storitev podpore uporabnikom.</w:t>
      </w:r>
    </w:p>
    <w:p>
      <w:pPr>
        <w:spacing w:after="0" w:line="240" w:lineRule="auto"/>
        <w:rPr>
          <w:rFonts w:ascii="Verdana" w:hAnsi="Verdana" w:cs="Arial"/>
          <w:b/>
          <w:sz w:val="20"/>
          <w:szCs w:val="20"/>
          <w:lang w:val="sl-si"/>
        </w:rPr>
      </w:pPr>
      <w:r>
        <w:rPr>
          <w:rFonts w:ascii="Verdana" w:hAnsi="Verdana" w:cs="Arial"/>
          <w:b/>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VZDRŽEVANJE IS</w:t>
      </w:r>
    </w:p>
    <w:p>
      <w:pPr>
        <w:pStyle w:val="para38"/>
        <w:numPr>
          <w:ilvl w:val="0"/>
          <w:numId w:val="18"/>
        </w:numPr>
        <w:ind w:left="720" w:hanging="360"/>
        <w:spacing w:after="120" w:line="240" w:lineRule="auto"/>
        <w:jc w:val="both"/>
        <w:widowControl w:val="0"/>
        <w:rPr>
          <w:rFonts w:ascii="Verdana" w:hAnsi="Verdana"/>
          <w:sz w:val="20"/>
          <w:szCs w:val="20"/>
          <w:lang w:val="sl-si"/>
        </w:rPr>
      </w:pPr>
      <w:r>
        <w:rPr>
          <w:rFonts w:ascii="Verdana" w:hAnsi="Verdana" w:cs="Arial"/>
          <w:sz w:val="20"/>
          <w:szCs w:val="20"/>
          <w:lang w:val="sl-si"/>
        </w:rPr>
        <w:t>V ceni vzdrževanja so zajete storitve vzdrževanja IS v skladu s to pogodbo in razpisno dokumentacijo, ki zajemajo:</w:t>
      </w:r>
      <w:r>
        <w:rPr>
          <w:rFonts w:ascii="Verdana" w:hAnsi="Verdana"/>
          <w:sz w:val="20"/>
          <w:szCs w:val="20"/>
          <w:lang w:val="sl-si"/>
        </w:rPr>
      </w:r>
    </w:p>
    <w:p>
      <w:pPr>
        <w:pStyle w:val="para38"/>
        <w:ind w:left="1440"/>
        <w:spacing w:after="12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vzdrževanje vseh nameščenih modulov in funkcionalnosti IS;</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pravica do uporabe vključno z implementacijo standardnih modulov oz. Rešitev;</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zagotavljanje razpoložljivosti in zahtevane odzivnosti izvajanja storitev osnovnega vzdrževanja;</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odpravljanje skritih in ostalih napak in pomanjkljivosti v kodi;</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spremljanje ugotovljenih napak ter predlaganje ukrepov za nemoteno delovanje programske opreme;</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 xml:space="preserve">distribucija novih verzij oziroma sprememb in dopolnitev programske opreme, ki so posledica napak v programski opremi, ne glede na lokacijo; </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spremljanje tehnoloških novosti, povezanih s programsko opremo ter priprava predlogov in ukrepov za nemoteno delovanje in/ali izboljšanje delovanja;</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redni kvartalni preventivni pregledi okolja, v katerem deluje programska oprema, z namenom proaktivnega opozarjanja na kritične elemente okolja (diskovne kapacitete, obremenitev procesorja,..);</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sodelovanje na polletnih delavnicah, na katerih se bodo usklajevale vse nove zahteve uporabnikov vzdrževanja: nove funkcionalnosti, novi moduli, spremembe funkcionalnosti, integracije z drugimi sistemi;</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prilagoditve IS zaradi regulatorne spremembe;</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cs="Arial"/>
          <w:sz w:val="20"/>
          <w:szCs w:val="20"/>
          <w:lang w:val="sl-si"/>
        </w:rPr>
        <w:t>posredovanje navodil za uporabo programske opreme, kot tudi navodila za vse nove implementirane module oz. Rešitve;</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poročanje o izvedenih storitvah osnovnega vzdrževanja;</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sodelovanje pri načrtovanju razvoja novih modulov po naročilu oz. po meri;</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dodatno izobraževanje uporabnikov - 3 delavnice letno (3 x 3 šolske ure, glede izvedbe le tega se uskladi z izvajalcem);</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spremembe funkcionalnosti, integracije z drugimi sistemi, kot tudi izvajanje določenih nastavitev na bolnišničnem IS.</w:t>
      </w:r>
    </w:p>
    <w:p>
      <w:pPr>
        <w:pStyle w:val="para38"/>
        <w:ind w:left="1440"/>
        <w:spacing w:after="12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8"/>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V ceni vzdrževanja ni zajeto:</w:t>
      </w:r>
    </w:p>
    <w:p>
      <w:pPr>
        <w:ind w:left="720"/>
        <w:spacing w:after="120" w:line="240" w:lineRule="auto"/>
        <w:jc w:val="both"/>
        <w:widowControl w:val="0"/>
        <w:rPr>
          <w:rFonts w:ascii="Verdana" w:hAnsi="Verdana"/>
          <w:sz w:val="20"/>
          <w:szCs w:val="20"/>
          <w:lang w:val="sl-si"/>
        </w:rPr>
      </w:pPr>
      <w:r>
        <w:rPr>
          <w:rFonts w:ascii="Verdana" w:hAnsi="Verdana"/>
          <w:sz w:val="20"/>
          <w:szCs w:val="20"/>
          <w:lang w:val="sl-si"/>
        </w:rPr>
        <w:t>Nadgradnje in izboljšave sistema so predmet dodatnih storitev, za katere se dogovorita naročnik in izvajalec.</w:t>
      </w:r>
    </w:p>
    <w:p>
      <w:pPr>
        <w:pStyle w:val="para38"/>
        <w:numPr>
          <w:ilvl w:val="0"/>
          <w:numId w:val="18"/>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ni odgovoren za napako, ki je nastala kot posledica:</w:t>
      </w:r>
    </w:p>
    <w:p>
      <w:pPr>
        <w:pStyle w:val="para38"/>
        <w:numPr>
          <w:ilvl w:val="0"/>
          <w:numId w:val="13"/>
        </w:numPr>
        <w:ind w:left="1440" w:hanging="360"/>
        <w:spacing w:after="0"/>
        <w:jc w:val="both"/>
        <w:rPr>
          <w:rFonts w:ascii="Verdana" w:hAnsi="Verdana"/>
          <w:sz w:val="20"/>
          <w:szCs w:val="20"/>
          <w:lang w:val="sl-si"/>
        </w:rPr>
      </w:pPr>
      <w:r>
        <w:rPr>
          <w:rFonts w:ascii="Verdana" w:hAnsi="Verdana"/>
          <w:sz w:val="20"/>
          <w:szCs w:val="20"/>
          <w:lang w:val="sl-si"/>
        </w:rPr>
        <w:t>naročnikovega neupoštevanja navodil za uporabo oziroma neupoštevanja uporabniške dokumentacije;</w:t>
      </w:r>
      <w:r>
        <w:rPr>
          <w:rFonts w:ascii="Verdana" w:hAnsi="Verdana"/>
          <w:sz w:val="20"/>
          <w:szCs w:val="20"/>
          <w:lang w:val="sl-si"/>
        </w:rPr>
      </w:r>
    </w:p>
    <w:p>
      <w:pPr>
        <w:pStyle w:val="para38"/>
        <w:numPr>
          <w:ilvl w:val="0"/>
          <w:numId w:val="13"/>
        </w:numPr>
        <w:ind w:left="1440" w:hanging="360"/>
        <w:spacing w:after="0"/>
        <w:contextualSpacing w:val="0"/>
        <w:jc w:val="both"/>
        <w:rPr>
          <w:rFonts w:ascii="Verdana" w:hAnsi="Verdana"/>
          <w:sz w:val="20"/>
          <w:szCs w:val="20"/>
          <w:lang w:val="sl-si"/>
        </w:rPr>
      </w:pPr>
      <w:r>
        <w:rPr>
          <w:rFonts w:ascii="Verdana" w:hAnsi="Verdana"/>
          <w:sz w:val="20"/>
          <w:szCs w:val="20"/>
          <w:lang w:val="sl-si"/>
        </w:rPr>
        <w:t>naročnikove nepravilne ali nedovoljene uporabe aplikacij oziroma operacijskega sistemskega okolja;</w:t>
      </w:r>
    </w:p>
    <w:p>
      <w:pPr>
        <w:pStyle w:val="para38"/>
        <w:numPr>
          <w:ilvl w:val="0"/>
          <w:numId w:val="13"/>
        </w:numPr>
        <w:ind w:left="1440" w:hanging="360"/>
        <w:spacing w:after="0"/>
        <w:contextualSpacing w:val="0"/>
        <w:jc w:val="both"/>
        <w:rPr>
          <w:rFonts w:ascii="Verdana" w:hAnsi="Verdana"/>
          <w:sz w:val="20"/>
          <w:szCs w:val="20"/>
          <w:lang w:val="sl-si"/>
        </w:rPr>
      </w:pPr>
      <w:r>
        <w:rPr>
          <w:rFonts w:ascii="Verdana" w:hAnsi="Verdana"/>
          <w:sz w:val="20"/>
          <w:szCs w:val="20"/>
          <w:lang w:val="sl-si"/>
        </w:rPr>
        <w:t>nedovoljenih modifikacij aplikacij s strani naročnika ali tretjih oseb;</w:t>
      </w:r>
    </w:p>
    <w:p>
      <w:pPr>
        <w:pStyle w:val="para38"/>
        <w:numPr>
          <w:ilvl w:val="0"/>
          <w:numId w:val="13"/>
        </w:numPr>
        <w:ind w:left="1440" w:hanging="360"/>
        <w:spacing w:after="0"/>
        <w:contextualSpacing w:val="0"/>
        <w:jc w:val="both"/>
        <w:rPr>
          <w:rFonts w:ascii="Verdana" w:hAnsi="Verdana"/>
          <w:sz w:val="20"/>
          <w:szCs w:val="20"/>
          <w:lang w:val="sl-si"/>
        </w:rPr>
      </w:pPr>
      <w:r>
        <w:rPr>
          <w:rFonts w:ascii="Verdana" w:hAnsi="Verdana"/>
          <w:sz w:val="20"/>
          <w:szCs w:val="20"/>
          <w:lang w:val="sl-si"/>
        </w:rPr>
        <w:t>pomanjkljivosti, napak ali nepravilnega delovanja oziroma nedelovanja strojne opreme, na kateri delujeta aplikaciji;</w:t>
      </w:r>
    </w:p>
    <w:p>
      <w:pPr>
        <w:pStyle w:val="para38"/>
        <w:numPr>
          <w:ilvl w:val="0"/>
          <w:numId w:val="13"/>
        </w:numPr>
        <w:ind w:left="1440" w:hanging="360"/>
        <w:spacing w:after="0"/>
        <w:contextualSpacing w:val="0"/>
        <w:jc w:val="both"/>
        <w:rPr>
          <w:rFonts w:ascii="Verdana" w:hAnsi="Verdana"/>
          <w:sz w:val="20"/>
          <w:szCs w:val="20"/>
          <w:lang w:val="sl-si"/>
        </w:rPr>
      </w:pPr>
      <w:r>
        <w:rPr>
          <w:rFonts w:ascii="Verdana" w:hAnsi="Verdana"/>
          <w:sz w:val="20"/>
          <w:szCs w:val="20"/>
          <w:lang w:val="sl-si"/>
        </w:rPr>
        <w:t>višje sile, nesreče in drugih nepredvidljivih dogodkov, za katere izvajalcu ni mogoče očitati krivde ali računalniških virusov, računalniških trojanskih konj ali podobnih škodljivih programov;</w:t>
      </w:r>
    </w:p>
    <w:p>
      <w:pPr>
        <w:pStyle w:val="para38"/>
        <w:numPr>
          <w:ilvl w:val="0"/>
          <w:numId w:val="13"/>
        </w:numPr>
        <w:ind w:left="1440" w:hanging="360"/>
        <w:spacing w:after="0"/>
        <w:contextualSpacing w:val="0"/>
        <w:jc w:val="both"/>
        <w:rPr>
          <w:rFonts w:ascii="Verdana" w:hAnsi="Verdana"/>
          <w:sz w:val="20"/>
          <w:szCs w:val="20"/>
          <w:lang w:val="sl-si"/>
        </w:rPr>
      </w:pPr>
      <w:r>
        <w:rPr>
          <w:rFonts w:ascii="Verdana" w:hAnsi="Verdana"/>
          <w:sz w:val="20"/>
          <w:szCs w:val="20"/>
          <w:lang w:val="sl-si"/>
        </w:rPr>
        <w:t>reševanje posledic v IS nastalih napak zaradi izpadov na drugih informacijskih virih (drugi informacijski sistemi ali infrastruktura ali sistemska programska oprema);</w:t>
      </w:r>
    </w:p>
    <w:p>
      <w:pPr>
        <w:pStyle w:val="para38"/>
        <w:numPr>
          <w:ilvl w:val="0"/>
          <w:numId w:val="13"/>
        </w:numPr>
        <w:ind w:left="1440" w:hanging="360"/>
        <w:spacing w:after="0"/>
        <w:contextualSpacing w:val="0"/>
        <w:jc w:val="both"/>
        <w:rPr>
          <w:rFonts w:ascii="Verdana" w:hAnsi="Verdana"/>
          <w:sz w:val="20"/>
          <w:szCs w:val="20"/>
          <w:lang w:val="sl-si"/>
        </w:rPr>
      </w:pPr>
      <w:r>
        <w:rPr>
          <w:rFonts w:ascii="Verdana" w:hAnsi="Verdana"/>
          <w:sz w:val="20"/>
          <w:szCs w:val="20"/>
          <w:lang w:val="sl-si"/>
        </w:rPr>
        <w:t>reševanje posledic zaradi nesreče, malomarnosti ali nepravilne uporabe programske opreme, za katero je odgovoren naročnik;</w:t>
      </w:r>
    </w:p>
    <w:p>
      <w:pPr>
        <w:pStyle w:val="para38"/>
        <w:numPr>
          <w:ilvl w:val="0"/>
          <w:numId w:val="13"/>
        </w:numPr>
        <w:ind w:left="1440" w:hanging="360"/>
        <w:spacing w:after="0"/>
        <w:contextualSpacing w:val="0"/>
        <w:jc w:val="both"/>
        <w:rPr>
          <w:rFonts w:ascii="Verdana" w:hAnsi="Verdana"/>
          <w:sz w:val="20"/>
          <w:szCs w:val="20"/>
          <w:lang w:val="sl-si"/>
        </w:rPr>
      </w:pPr>
      <w:r>
        <w:rPr>
          <w:rFonts w:ascii="Verdana" w:hAnsi="Verdana"/>
          <w:sz w:val="20"/>
          <w:szCs w:val="20"/>
          <w:lang w:val="sl-si"/>
        </w:rPr>
        <w:t>reševanje posledic zaradi napak v električnem omrežju in napajanju, odstopanju temperature, vlažnosti ali prašnosti v prostoru, kjer je infrastrukturna oprema nameščena;</w:t>
      </w:r>
    </w:p>
    <w:p>
      <w:pPr>
        <w:pStyle w:val="para38"/>
        <w:numPr>
          <w:ilvl w:val="0"/>
          <w:numId w:val="13"/>
        </w:numPr>
        <w:ind w:left="1440" w:hanging="360"/>
        <w:spacing w:after="0"/>
        <w:contextualSpacing w:val="0"/>
        <w:jc w:val="both"/>
        <w:rPr>
          <w:rFonts w:ascii="Verdana" w:hAnsi="Verdana"/>
          <w:sz w:val="20"/>
          <w:szCs w:val="20"/>
          <w:lang w:val="sl-si"/>
        </w:rPr>
      </w:pPr>
      <w:r>
        <w:rPr>
          <w:rFonts w:ascii="Verdana" w:hAnsi="Verdana"/>
          <w:sz w:val="20"/>
          <w:szCs w:val="20"/>
          <w:lang w:val="sl-si"/>
        </w:rPr>
        <w:t>reševanje posledic zaradi delovanja atmosferskih praznjenj na napajanja ali signalna omrežja;</w:t>
      </w:r>
    </w:p>
    <w:p>
      <w:pPr>
        <w:pStyle w:val="para38"/>
        <w:numPr>
          <w:ilvl w:val="0"/>
          <w:numId w:val="13"/>
        </w:numPr>
        <w:ind w:left="1440" w:hanging="360"/>
        <w:spacing w:after="0"/>
        <w:contextualSpacing w:val="0"/>
        <w:jc w:val="both"/>
        <w:rPr>
          <w:rFonts w:ascii="Verdana" w:hAnsi="Verdana"/>
          <w:sz w:val="20"/>
          <w:szCs w:val="20"/>
          <w:lang w:val="sl-si"/>
        </w:rPr>
      </w:pPr>
      <w:r/>
      <w:bookmarkStart w:id="0" w:name="_Hlk64374880"/>
      <w:r/>
      <w:r>
        <w:rPr>
          <w:rFonts w:ascii="Verdana" w:hAnsi="Verdana"/>
          <w:sz w:val="20"/>
          <w:szCs w:val="20"/>
          <w:lang w:val="sl-si"/>
        </w:rPr>
        <w:t>reševanje posledic zaradi n</w:t>
      </w:r>
      <w:r>
        <w:rPr>
          <w:rFonts w:ascii="Verdana" w:hAnsi="Verdana"/>
          <w:sz w:val="20"/>
          <w:szCs w:val="20"/>
          <w:lang w:val="sl-si"/>
        </w:rPr>
        <w:t>eobičajnih fizičnih, magnetnih ali podobnih sunkov iz okolja;</w:t>
      </w:r>
      <w:r/>
      <w:bookmarkEnd w:id="0"/>
      <w:r/>
      <w:r>
        <w:rPr>
          <w:rFonts w:ascii="Verdana" w:hAnsi="Verdana"/>
          <w:sz w:val="20"/>
          <w:szCs w:val="20"/>
          <w:lang w:val="sl-si"/>
        </w:rPr>
      </w:r>
    </w:p>
    <w:p>
      <w:pPr>
        <w:pStyle w:val="para38"/>
        <w:numPr>
          <w:ilvl w:val="0"/>
          <w:numId w:val="13"/>
        </w:numPr>
        <w:ind w:left="1440" w:hanging="360"/>
        <w:spacing w:after="0"/>
        <w:contextualSpacing w:val="0"/>
        <w:jc w:val="both"/>
        <w:rPr>
          <w:rFonts w:ascii="Verdana" w:hAnsi="Verdana"/>
          <w:sz w:val="20"/>
          <w:szCs w:val="20"/>
          <w:lang w:val="sl-si"/>
        </w:rPr>
      </w:pPr>
      <w:r>
        <w:rPr>
          <w:rFonts w:ascii="Verdana" w:hAnsi="Verdana"/>
          <w:sz w:val="20"/>
          <w:szCs w:val="20"/>
          <w:lang w:val="sl-si"/>
        </w:rPr>
        <w:t>reševanje posledic nastale na podlagi višje sile;</w:t>
      </w:r>
    </w:p>
    <w:p>
      <w:pPr>
        <w:pStyle w:val="para38"/>
        <w:numPr>
          <w:ilvl w:val="0"/>
          <w:numId w:val="13"/>
        </w:numPr>
        <w:ind w:left="1440" w:hanging="360"/>
        <w:spacing w:after="0"/>
        <w:contextualSpacing w:val="0"/>
        <w:jc w:val="both"/>
        <w:rPr>
          <w:rFonts w:ascii="Verdana" w:hAnsi="Verdana"/>
          <w:sz w:val="20"/>
          <w:szCs w:val="20"/>
          <w:lang w:val="sl-si"/>
        </w:rPr>
      </w:pPr>
      <w:r>
        <w:rPr>
          <w:rFonts w:ascii="Verdana" w:hAnsi="Verdana"/>
          <w:sz w:val="20"/>
          <w:szCs w:val="20"/>
          <w:lang w:val="sl-si"/>
        </w:rPr>
        <w:t>koordinacija izvajalcev pri nadgradnji informacijskih virov (drugi informacijski sistemi, infrastrukturne komponente, sistemska programska oprema).</w:t>
      </w:r>
    </w:p>
    <w:p>
      <w:pPr>
        <w:pStyle w:val="para38"/>
        <w:numPr>
          <w:ilvl w:val="0"/>
          <w:numId w:val="13"/>
        </w:numPr>
        <w:ind w:left="1440" w:hanging="360"/>
        <w:spacing w:after="0"/>
        <w:contextualSpacing w:val="0"/>
        <w:jc w:val="both"/>
        <w:rPr>
          <w:rFonts w:ascii="Verdana" w:hAnsi="Verdana"/>
          <w:sz w:val="20"/>
          <w:szCs w:val="20"/>
          <w:lang w:val="sl-si"/>
        </w:rPr>
      </w:pPr>
      <w:r>
        <w:rPr>
          <w:rFonts w:ascii="Verdana" w:hAnsi="Verdana"/>
          <w:sz w:val="20"/>
          <w:szCs w:val="20"/>
          <w:lang w:val="sl-si"/>
        </w:rPr>
        <w:t xml:space="preserve">Izvajalec jamči, da bo IS z funkcionalnostmi deloval v skladu z zahtevami naročnika, to je v skladu z zahtevano kakovostjo, zmogljivostjo in zahtevanimi lastnostmi, prav tako pa jamči za pravilnost podatkov, ki se producirajo IS. </w:t>
      </w:r>
    </w:p>
    <w:p>
      <w:pPr>
        <w:pStyle w:val="para38"/>
        <w:ind w:left="1440"/>
        <w:spacing w:after="0"/>
        <w:contextualSpacing w:val="0"/>
        <w:jc w:val="both"/>
        <w:rPr>
          <w:rFonts w:ascii="Verdana" w:hAnsi="Verdana"/>
          <w:sz w:val="20"/>
          <w:szCs w:val="20"/>
          <w:lang w:val="sl-si"/>
        </w:rPr>
      </w:pPr>
      <w:r>
        <w:rPr>
          <w:rFonts w:ascii="Verdana" w:hAnsi="Verdana"/>
          <w:sz w:val="20"/>
          <w:szCs w:val="20"/>
          <w:lang w:val="sl-si"/>
        </w:rPr>
      </w:r>
    </w:p>
    <w:p>
      <w:pPr>
        <w:pStyle w:val="para38"/>
        <w:numPr>
          <w:ilvl w:val="0"/>
          <w:numId w:val="18"/>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ravno tako jamči, da bo IS deloval v skladu z veljavno zakonodajo in drugo zakonsko regulativo, ki zavezuje naročnika.</w:t>
      </w:r>
    </w:p>
    <w:p>
      <w:pPr>
        <w:pStyle w:val="para38"/>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8"/>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 xml:space="preserve">Izvajalec ne odgovarja za neposredno, posredno, slučajno ali posledično škodo, ki bi bila posledica nepravilne uporabe programske opreme pri naročniku, niti ne odgovarja za pravilnost podatkov. Povrnjena ne more biti nobena druga škoda, vključno s posledično, posebno, posredno, naključno škodo ali škodo zaradi izgube dobička. Razen v primerih, ki so izrecno navedeni v tej pogodbi, izvajalec ne daje nobenih drugih jamstev programske opreme, tako jasno izraženih, kot tudi morebiti posredno vsebovanih v tej pogodbi, v zvezi s programsko opremo (vključno s pripadajočo dokumentacijo), ki se nanašajo na kakovost, zmogljivost, običajne lastnosti ali pričakovanja in predstave naročnika o delovanju programske opreme glede primernosti za njegove potrebe. Ker je programska oprema po svoji naravi zapletena intelektualna stvaritev in ker vedno obstaja možnost napak, izvajalec priporoča naročniku, da svoje </w:t>
      </w:r>
      <w:r>
        <w:rPr>
          <w:rFonts w:ascii="Verdana" w:hAnsi="Verdana"/>
          <w:sz w:val="20"/>
          <w:szCs w:val="20"/>
          <w:lang w:val="sl-si"/>
        </w:rPr>
        <w:t xml:space="preserve">delo z njim preverja in dela varnostne kopije. </w:t>
      </w:r>
      <w:r>
        <w:rPr>
          <w:rFonts w:ascii="Verdana" w:hAnsi="Verdana"/>
          <w:sz w:val="20"/>
          <w:szCs w:val="20"/>
          <w:lang w:val="sl-si"/>
        </w:rPr>
      </w:r>
    </w:p>
    <w:p>
      <w:pPr>
        <w:pStyle w:val="para38"/>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8"/>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Če gre za programsko opremo drugega avtorja, veljajo pogoji in določila, ki jih določa avtor.</w:t>
      </w:r>
    </w:p>
    <w:p>
      <w:pPr>
        <w:pStyle w:val="para38"/>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8"/>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 xml:space="preserve">Ta omejitev velja: </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 xml:space="preserve">za vse zadeve, povezane s programsko opremo IS, storitvami, vsebino (vključno s kodo) na internetnih straneh tretjih oseb ali programi tretjih oseb ter zahtevke zaradi kršitve sporazuma, kršitve garancije, jamstva ali pogoja, polne osebne odgovornosti, malomarnosti ali drugega oškodovanja v obsegu, ki ga dovoljuje veljavna zakonodaja; </w:t>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če popravilo, zamenjava programske opreme ali povračilo za programsko opremo, izgub, ki jih je naročnik utrpel, ne nadomesti v celoti ali je avtor vedel oziroma bi moral vedeti za možnost te škode.</w:t>
      </w:r>
    </w:p>
    <w:p>
      <w:pPr>
        <w:spacing w:after="0" w:line="240" w:lineRule="auto"/>
        <w:rPr>
          <w:rFonts w:ascii="Verdana" w:hAnsi="Verdana"/>
          <w:b/>
          <w:sz w:val="20"/>
          <w:szCs w:val="20"/>
          <w:lang w:val="sl-si"/>
        </w:rPr>
      </w:pPr>
      <w:r>
        <w:rPr>
          <w:rFonts w:ascii="Verdana" w:hAnsi="Verdana"/>
          <w:b/>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0"/>
          <w:lang w:val="sl-si"/>
        </w:rPr>
      </w:pPr>
      <w:r>
        <w:rPr>
          <w:rFonts w:ascii="Verdana" w:hAnsi="Verdana"/>
          <w:sz w:val="20"/>
          <w:szCs w:val="20"/>
          <w:lang w:val="sl-si"/>
        </w:rPr>
        <w:t>OBVEZNOSTI NAROČNIKA</w:t>
      </w:r>
    </w:p>
    <w:p>
      <w:pPr>
        <w:pStyle w:val="para38"/>
        <w:numPr>
          <w:ilvl w:val="0"/>
          <w:numId w:val="5"/>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Da bo izvajalec lahko nemoteno izvajal storitve po tej pogodbi je naročnik dolžan:</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Zagotoviti primerne delovne in tehnične pogoje za delo izvajalca in ustrezen</w:t>
      </w:r>
    </w:p>
    <w:p>
      <w:pPr>
        <w:pStyle w:val="para38"/>
        <w:ind w:left="1440"/>
        <w:spacing w:after="0" w:line="240" w:lineRule="auto"/>
        <w:jc w:val="both"/>
        <w:widowControl w:val="0"/>
        <w:rPr>
          <w:rFonts w:ascii="Verdana" w:hAnsi="Verdana"/>
          <w:sz w:val="20"/>
          <w:szCs w:val="20"/>
          <w:lang w:val="sl-si"/>
        </w:rPr>
      </w:pPr>
      <w:r>
        <w:rPr>
          <w:rFonts w:ascii="Verdana" w:hAnsi="Verdana"/>
          <w:sz w:val="20"/>
          <w:szCs w:val="20"/>
          <w:lang w:val="sl-si"/>
        </w:rPr>
        <w:t>oddaljen dostop preko interneta (RDP, VPN) do podatkovnega strežnika v testnem in produkcijskem okolju;</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Zagotoviti nemoten dostop na lokaciji naročnika do računalniške strojne in programske opreme, ki jo izvajalec potrebuje pri delu (tudi izven delovnega časa v primeru intervencijskih posegov);</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Priskrbeti potrebne pravice za delo vzdrževalca na računalniškem sistemu; priskrbeti uporabniška imena in gesla za dostop;</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Na zahtevo vzdrževalca omogočiti sodelovanje kontaktne osebe in drugega naročnikovega osebja v predvidenem obsegu;</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Na zahtevo vzdrževalca v času posega v sistem zagotoviti prisotnost administratorja naročnikovega računalniškega sistema;</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Zagotoviti morebitna dovoljenja, če je potrebno, da ima izvajalec vpogled ali da mora uporabiti računalniško programsko ali strojno opremo tretje osebe;</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Na zahtevo vzdrževalca poskrbeti za koordinacijo del s podjetji, ki nastopajo kot poslovni partner naročnika, če je to potrebno za izvedbo del;</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Omogočiti dostop do literature in elektronskih medijev, ki jih je prejel od proizvajalca, potrebnih za vzdrževanje programske opreme;</w:t>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Zagotoviti odgovorno osebo s strani naročnika z ustreznimi pooblastili za vsebinske odločitve v primeru nujnih sprememb sistema oz. potreb pri reševanju napak.</w:t>
      </w:r>
    </w:p>
    <w:p>
      <w:pPr>
        <w:pStyle w:val="para38"/>
        <w:ind w:left="1440"/>
        <w:spacing w:after="12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5"/>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 xml:space="preserve">Izvajalec ne more odgovarjati za korektno in pravočasno izvedbo storitev po tej pogodbi, če naročnik ne izpolni katerega od zgoraj navedenih pogojev. </w:t>
      </w:r>
    </w:p>
    <w:p>
      <w:pPr>
        <w:pStyle w:val="para38"/>
        <w:ind w:left="144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5"/>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je upravičen do zaračunavanja porabljenega časa, ki je posledica neizpolnjevanja pogojev iz tega člena.</w:t>
      </w:r>
    </w:p>
    <w:p>
      <w:pPr>
        <w:pStyle w:val="para38"/>
        <w:spacing w:after="12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0"/>
          <w:lang w:val="sl-si"/>
        </w:rPr>
      </w:pPr>
      <w:r>
        <w:rPr>
          <w:rFonts w:ascii="Verdana" w:hAnsi="Verdana"/>
          <w:sz w:val="20"/>
          <w:szCs w:val="20"/>
          <w:lang w:val="sl-si"/>
        </w:rPr>
        <w:t>OPREDELITEV NAPAK</w:t>
      </w:r>
    </w:p>
    <w:p>
      <w:pPr>
        <w:pStyle w:val="para38"/>
        <w:numPr>
          <w:ilvl w:val="0"/>
          <w:numId w:val="3"/>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Pogodbeni stranki opredeljujeta tri vrste napak IS:</w:t>
      </w:r>
    </w:p>
    <w:tbl>
      <w:tblPr>
        <w:tblStyle w:val="TableNormal"/>
        <w:name w:val="Table5"/>
        <w:tabOrder w:val="0"/>
        <w:jc w:val="left"/>
        <w:tblInd w:w="0" w:type="dxa"/>
        <w:tblW w:w="9062" w:type="dxa"/>
        <w:tblLook w:val="04A0" w:firstRow="1" w:lastRow="0" w:firstColumn="1" w:lastColumn="0" w:noHBand="0" w:noVBand="1"/>
      </w:tblPr>
      <w:tblGrid>
        <w:gridCol w:w="2122"/>
        <w:gridCol w:w="6940"/>
      </w:tblGrid>
      <w:tr>
        <w:trPr>
          <w:cantSplit w:val="0"/>
          <w:trHeight w:val="0" w:hRule="auto"/>
        </w:trPr>
        <w:tc>
          <w:tcPr>
            <w:tcW w:w="2122" w:type="dxa"/>
            <w:shd w:val="solid" w:color="FDB940" tmshd="1677721856, 0, 4241917"/>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VRSTA NAPAKE</w:t>
            </w:r>
          </w:p>
        </w:tc>
        <w:tc>
          <w:tcPr>
            <w:tcW w:w="6940" w:type="dxa"/>
            <w:shd w:val="solid" w:color="FDB940" tmshd="1677721856, 0, 4241917"/>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OPIS NAPAKE</w:t>
            </w:r>
          </w:p>
        </w:tc>
      </w:tr>
      <w:tr>
        <w:trPr>
          <w:cantSplit w:val="0"/>
          <w:trHeight w:val="0" w:hRule="auto"/>
        </w:trPr>
        <w:tc>
          <w:tcPr>
            <w:tcW w:w="2122"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bCs/>
                <w:sz w:val="20"/>
                <w:szCs w:val="20"/>
                <w:lang w:val="sl-si"/>
              </w:rPr>
            </w:pPr>
            <w:r>
              <w:rPr>
                <w:rFonts w:ascii="Verdana" w:hAnsi="Verdana"/>
                <w:bCs/>
                <w:sz w:val="20"/>
                <w:szCs w:val="20"/>
                <w:lang w:val="sl-si"/>
              </w:rPr>
              <w:t>Kritična</w:t>
            </w:r>
          </w:p>
        </w:tc>
        <w:tc>
          <w:tcPr>
            <w:tcW w:w="6940"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bCs/>
                <w:sz w:val="20"/>
                <w:szCs w:val="20"/>
                <w:lang w:val="sl-si"/>
              </w:rPr>
            </w:pPr>
            <w:r>
              <w:rPr>
                <w:rFonts w:ascii="Verdana" w:hAnsi="Verdana"/>
                <w:bCs/>
                <w:sz w:val="20"/>
                <w:szCs w:val="20"/>
                <w:lang w:val="sl-si"/>
              </w:rPr>
              <w:t>napaka, ko je uporaba celotne programske opreme (funkcionalnosti) onemogočena, tako da je izvajanje enega ali več poslovnih procesov s programsko opremo onemogočeno</w:t>
            </w:r>
          </w:p>
        </w:tc>
      </w:tr>
      <w:tr>
        <w:trPr>
          <w:cantSplit w:val="0"/>
          <w:trHeight w:val="0" w:hRule="auto"/>
        </w:trPr>
        <w:tc>
          <w:tcPr>
            <w:tcW w:w="2122"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bCs/>
                <w:sz w:val="20"/>
                <w:szCs w:val="20"/>
                <w:lang w:val="sl-si"/>
              </w:rPr>
            </w:pPr>
            <w:r>
              <w:rPr>
                <w:rFonts w:ascii="Verdana" w:hAnsi="Verdana"/>
                <w:bCs/>
                <w:sz w:val="20"/>
                <w:szCs w:val="20"/>
                <w:lang w:val="sl-si"/>
              </w:rPr>
              <w:t>Resna</w:t>
            </w:r>
          </w:p>
        </w:tc>
        <w:tc>
          <w:tcPr>
            <w:tcW w:w="6940"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bCs/>
                <w:sz w:val="20"/>
                <w:szCs w:val="20"/>
                <w:lang w:val="sl-si"/>
              </w:rPr>
            </w:pPr>
            <w:r>
              <w:rPr>
                <w:rFonts w:ascii="Verdana" w:hAnsi="Verdana"/>
                <w:bCs/>
                <w:sz w:val="20"/>
                <w:szCs w:val="20"/>
                <w:lang w:val="sl-si"/>
              </w:rPr>
              <w:t>napaka, ko je uporaba bodisi celotne bodisi dela programske opreme (funkcionalnosti) onemogočena ali otežena, kar povzroča težave pri izvajanju enega ali več poslovnih procesov in znižano produktivnost uporabnika</w:t>
            </w:r>
          </w:p>
        </w:tc>
      </w:tr>
      <w:tr>
        <w:trPr>
          <w:cantSplit w:val="0"/>
          <w:trHeight w:val="0" w:hRule="auto"/>
        </w:trPr>
        <w:tc>
          <w:tcPr>
            <w:tcW w:w="2122"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bCs/>
                <w:sz w:val="20"/>
                <w:szCs w:val="20"/>
                <w:lang w:val="sl-si"/>
              </w:rPr>
            </w:pPr>
            <w:r>
              <w:rPr>
                <w:rFonts w:ascii="Verdana" w:hAnsi="Verdana"/>
                <w:bCs/>
                <w:sz w:val="20"/>
                <w:szCs w:val="20"/>
                <w:lang w:val="sl-si"/>
              </w:rPr>
              <w:t>Manjša</w:t>
            </w:r>
          </w:p>
        </w:tc>
        <w:tc>
          <w:tcPr>
            <w:tcW w:w="6940"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bCs/>
                <w:sz w:val="20"/>
                <w:szCs w:val="20"/>
                <w:lang w:val="sl-si"/>
              </w:rPr>
            </w:pPr>
            <w:r>
              <w:rPr>
                <w:rFonts w:ascii="Verdana" w:hAnsi="Verdana"/>
                <w:bCs/>
                <w:sz w:val="20"/>
                <w:szCs w:val="20"/>
                <w:lang w:val="sl-si"/>
              </w:rPr>
              <w:t>Napaka, ko je uporaba bodisi celotne bodisi dela programske opreme (funkcionalnosti) otežena, vendar napaka ne povzroča znižane produktivnosti uporabnika.</w:t>
            </w:r>
          </w:p>
        </w:tc>
      </w:tr>
    </w:tbl>
    <w:p>
      <w:pPr>
        <w:spacing w:after="0" w:line="240" w:lineRule="auto"/>
        <w:jc w:val="both"/>
        <w:rPr>
          <w:rFonts w:ascii="Verdana" w:hAnsi="Verdana"/>
          <w:bCs/>
          <w:sz w:val="20"/>
          <w:szCs w:val="20"/>
          <w:lang w:val="sl-si"/>
        </w:rPr>
      </w:pPr>
      <w:r>
        <w:rPr>
          <w:rFonts w:ascii="Verdana" w:hAnsi="Verdana"/>
          <w:bCs/>
          <w:sz w:val="20"/>
          <w:szCs w:val="20"/>
          <w:lang w:val="sl-si"/>
        </w:rPr>
      </w:r>
    </w:p>
    <w:p>
      <w:pPr>
        <w:pStyle w:val="para38"/>
        <w:numPr>
          <w:ilvl w:val="0"/>
          <w:numId w:val="3"/>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 xml:space="preserve">Vrsto napake vedno primarno določi naročnik v obvestilu o napaki, izvajalec pa jo lahko v primeru ugotovitve, da je vrsta napake drugačna od prijavljene v dogovoru z naročnikom spremeni. </w:t>
      </w:r>
    </w:p>
    <w:p>
      <w:pPr>
        <w:pStyle w:val="para38"/>
        <w:numPr>
          <w:ilvl w:val="0"/>
          <w:numId w:val="3"/>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se je na tej podlagi vrste napake dolžan odzvati v rokih, določenih s to pogodbo ter napako odpraviti na način in v rokih, kot je določeno v tej pogodbi.</w:t>
      </w:r>
    </w:p>
    <w:p>
      <w:pPr>
        <w:spacing w:after="0" w:line="240" w:lineRule="auto"/>
        <w:jc w:val="both"/>
        <w:rPr>
          <w:rFonts w:ascii="Verdana" w:hAnsi="Verdana"/>
          <w:sz w:val="20"/>
          <w:szCs w:val="20"/>
          <w:lang w:val="sl-si"/>
        </w:rPr>
      </w:pPr>
      <w:r>
        <w:rPr>
          <w:rFonts w:ascii="Verdana" w:hAnsi="Verdana"/>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ODZIVNI ČASI</w:t>
      </w:r>
    </w:p>
    <w:p>
      <w:pPr>
        <w:pStyle w:val="para38"/>
        <w:numPr>
          <w:ilvl w:val="0"/>
          <w:numId w:val="16"/>
        </w:numPr>
        <w:ind w:left="720" w:hanging="360"/>
        <w:spacing w:after="120" w:line="240" w:lineRule="auto"/>
        <w:jc w:val="both"/>
        <w:widowControl w:val="0"/>
        <w:rPr>
          <w:rFonts w:ascii="Verdana" w:hAnsi="Verdana"/>
          <w:sz w:val="20"/>
          <w:szCs w:val="20"/>
          <w:lang w:val="sl-si"/>
        </w:rPr>
      </w:pPr>
      <w:r>
        <w:rPr>
          <w:rFonts w:ascii="Verdana" w:hAnsi="Verdana" w:cs="Arial"/>
          <w:sz w:val="20"/>
          <w:szCs w:val="20"/>
          <w:lang w:val="sl-si"/>
        </w:rPr>
        <w:t>Pogodbeni stranki se dogovorita za naslednje odzivne čase:</w:t>
      </w:r>
      <w:r>
        <w:rPr>
          <w:rFonts w:ascii="Verdana" w:hAnsi="Verdana"/>
          <w:sz w:val="20"/>
          <w:szCs w:val="20"/>
          <w:lang w:val="sl-si"/>
        </w:rPr>
      </w:r>
    </w:p>
    <w:tbl>
      <w:tblPr>
        <w:tblStyle w:val="TableNormal"/>
        <w:name w:val="Table6"/>
        <w:tabOrder w:val="0"/>
        <w:jc w:val="center"/>
        <w:tblInd w:w="0" w:type="dxa"/>
        <w:tblW w:w="9062" w:type="dxa"/>
        <w:tblLook w:val="04A0" w:firstRow="1" w:lastRow="0" w:firstColumn="1" w:lastColumn="0" w:noHBand="0" w:noVBand="1"/>
      </w:tblPr>
      <w:tblGrid>
        <w:gridCol w:w="2122"/>
        <w:gridCol w:w="3470"/>
        <w:gridCol w:w="3470"/>
      </w:tblGrid>
      <w:tr>
        <w:trPr>
          <w:cantSplit w:val="0"/>
          <w:trHeight w:val="0" w:hRule="auto"/>
        </w:trPr>
        <w:tc>
          <w:tcPr>
            <w:tcW w:w="2122" w:type="dxa"/>
            <w:shd w:val="solid" w:color="FDB940" tmshd="1677721856, 0, 4241917"/>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center"/>
              <w:widowControl w:val="0"/>
              <w:rPr>
                <w:rFonts w:ascii="Verdana" w:hAnsi="Verdana" w:eastAsia="Times New Roman" w:cs="Arial"/>
                <w:b/>
                <w:sz w:val="20"/>
                <w:szCs w:val="20"/>
                <w:lang w:val="sl-si"/>
              </w:rPr>
            </w:pPr>
            <w:r>
              <w:rPr>
                <w:rFonts w:ascii="Verdana" w:hAnsi="Verdana" w:eastAsia="Times New Roman" w:cs="Arial"/>
                <w:b/>
                <w:sz w:val="20"/>
                <w:szCs w:val="20"/>
                <w:lang w:val="sl-si"/>
              </w:rPr>
              <w:t>VRSTA NAPAKE</w:t>
            </w:r>
          </w:p>
        </w:tc>
        <w:tc>
          <w:tcPr>
            <w:tcW w:w="3470" w:type="dxa"/>
            <w:shd w:val="solid" w:color="FDB940" tmshd="1677721856, 0, 4241917"/>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center"/>
              <w:widowControl w:val="0"/>
              <w:rPr>
                <w:rFonts w:ascii="Verdana" w:hAnsi="Verdana" w:eastAsia="Times New Roman" w:cs="Arial"/>
                <w:b/>
                <w:sz w:val="20"/>
                <w:szCs w:val="20"/>
                <w:lang w:val="sl-si"/>
              </w:rPr>
            </w:pPr>
            <w:r>
              <w:rPr>
                <w:rFonts w:ascii="Verdana" w:hAnsi="Verdana" w:eastAsia="Times New Roman" w:cs="Arial"/>
                <w:b/>
                <w:sz w:val="20"/>
                <w:szCs w:val="20"/>
                <w:lang w:val="sl-si"/>
              </w:rPr>
              <w:t>ODZIVNI ČAS</w:t>
            </w:r>
          </w:p>
        </w:tc>
        <w:tc>
          <w:tcPr>
            <w:tcW w:w="3470" w:type="dxa"/>
            <w:shd w:val="solid" w:color="FDB940" tmshd="1677721856, 0, 4241917"/>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center"/>
              <w:widowControl w:val="0"/>
              <w:rPr>
                <w:rFonts w:ascii="Verdana" w:hAnsi="Verdana" w:eastAsia="Times New Roman" w:cs="Arial"/>
                <w:b/>
                <w:sz w:val="20"/>
                <w:szCs w:val="20"/>
                <w:lang w:val="sl-si"/>
              </w:rPr>
            </w:pPr>
            <w:r>
              <w:rPr>
                <w:rFonts w:ascii="Verdana" w:hAnsi="Verdana" w:eastAsia="Times New Roman" w:cs="Arial"/>
                <w:b/>
                <w:sz w:val="20"/>
                <w:szCs w:val="20"/>
                <w:lang w:val="sl-si"/>
              </w:rPr>
              <w:t>ČAS ZA ODPRAVO NAPAKE</w:t>
            </w:r>
          </w:p>
        </w:tc>
      </w:tr>
      <w:tr>
        <w:trPr>
          <w:cantSplit w:val="0"/>
          <w:trHeight w:val="0" w:hRule="auto"/>
        </w:trPr>
        <w:tc>
          <w:tcPr>
            <w:tcW w:w="2122"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eastAsia="Times New Roman" w:cs="Arial"/>
                <w:bCs/>
                <w:sz w:val="20"/>
                <w:szCs w:val="20"/>
                <w:lang w:val="sl-si"/>
              </w:rPr>
            </w:pPr>
            <w:r>
              <w:rPr>
                <w:rFonts w:ascii="Verdana" w:hAnsi="Verdana" w:eastAsia="Times New Roman" w:cs="Arial"/>
                <w:bCs/>
                <w:sz w:val="20"/>
                <w:szCs w:val="20"/>
                <w:lang w:val="sl-si"/>
              </w:rPr>
              <w:t>Kritična</w:t>
            </w:r>
          </w:p>
        </w:tc>
        <w:tc>
          <w:tcPr>
            <w:tcW w:w="3470"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eastAsia="Times New Roman" w:cs="Arial"/>
                <w:bCs/>
                <w:sz w:val="20"/>
                <w:szCs w:val="20"/>
                <w:lang w:val="sl-si"/>
              </w:rPr>
            </w:pPr>
            <w:r>
              <w:rPr>
                <w:rFonts w:ascii="Verdana" w:hAnsi="Verdana" w:eastAsia="Times New Roman" w:cs="Arial"/>
                <w:bCs/>
                <w:sz w:val="20"/>
                <w:szCs w:val="20"/>
                <w:lang w:val="sl-si"/>
              </w:rPr>
              <w:t>30 minut</w:t>
            </w:r>
          </w:p>
        </w:tc>
        <w:tc>
          <w:tcPr>
            <w:tcW w:w="3470"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eastAsia="Times New Roman" w:cs="Arial"/>
                <w:bCs/>
                <w:sz w:val="20"/>
                <w:szCs w:val="20"/>
                <w:lang w:val="sl-si"/>
              </w:rPr>
            </w:pPr>
            <w:r>
              <w:rPr>
                <w:rFonts w:ascii="Verdana" w:hAnsi="Verdana" w:eastAsia="Times New Roman" w:cs="Arial"/>
                <w:bCs/>
                <w:sz w:val="20"/>
                <w:szCs w:val="20"/>
                <w:lang w:val="sl-si"/>
              </w:rPr>
              <w:t>1 ura</w:t>
            </w:r>
          </w:p>
        </w:tc>
      </w:tr>
      <w:tr>
        <w:trPr>
          <w:cantSplit w:val="0"/>
          <w:trHeight w:val="0" w:hRule="auto"/>
        </w:trPr>
        <w:tc>
          <w:tcPr>
            <w:tcW w:w="2122"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eastAsia="Times New Roman" w:cs="Arial"/>
                <w:bCs/>
                <w:sz w:val="20"/>
                <w:szCs w:val="20"/>
                <w:lang w:val="sl-si"/>
              </w:rPr>
            </w:pPr>
            <w:r>
              <w:rPr>
                <w:rFonts w:ascii="Verdana" w:hAnsi="Verdana" w:eastAsia="Times New Roman" w:cs="Arial"/>
                <w:bCs/>
                <w:sz w:val="20"/>
                <w:szCs w:val="20"/>
                <w:lang w:val="sl-si"/>
              </w:rPr>
              <w:t>Resna</w:t>
            </w:r>
          </w:p>
        </w:tc>
        <w:tc>
          <w:tcPr>
            <w:tcW w:w="3470"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eastAsia="Times New Roman" w:cs="Arial"/>
                <w:bCs/>
                <w:sz w:val="20"/>
                <w:szCs w:val="20"/>
                <w:lang w:val="sl-si"/>
              </w:rPr>
            </w:pPr>
            <w:r>
              <w:rPr>
                <w:rFonts w:ascii="Verdana" w:hAnsi="Verdana" w:eastAsia="Times New Roman" w:cs="Arial"/>
                <w:bCs/>
                <w:sz w:val="20"/>
                <w:szCs w:val="20"/>
                <w:lang w:val="sl-si"/>
              </w:rPr>
              <w:t>2 uri</w:t>
            </w:r>
          </w:p>
        </w:tc>
        <w:tc>
          <w:tcPr>
            <w:tcW w:w="3470"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eastAsia="Times New Roman" w:cs="Arial"/>
                <w:bCs/>
                <w:sz w:val="20"/>
                <w:szCs w:val="20"/>
                <w:lang w:val="sl-si"/>
              </w:rPr>
            </w:pPr>
            <w:r>
              <w:rPr>
                <w:rFonts w:ascii="Verdana" w:hAnsi="Verdana" w:eastAsia="Times New Roman" w:cs="Arial"/>
                <w:bCs/>
                <w:sz w:val="20"/>
                <w:szCs w:val="20"/>
                <w:lang w:val="sl-si"/>
              </w:rPr>
              <w:t>4 ure</w:t>
            </w:r>
          </w:p>
        </w:tc>
      </w:tr>
      <w:tr>
        <w:trPr>
          <w:cantSplit w:val="0"/>
          <w:trHeight w:val="0" w:hRule="auto"/>
        </w:trPr>
        <w:tc>
          <w:tcPr>
            <w:tcW w:w="2122"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eastAsia="Times New Roman" w:cs="Arial"/>
                <w:bCs/>
                <w:sz w:val="20"/>
                <w:szCs w:val="20"/>
                <w:lang w:val="sl-si"/>
              </w:rPr>
            </w:pPr>
            <w:r>
              <w:rPr>
                <w:rFonts w:ascii="Verdana" w:hAnsi="Verdana" w:eastAsia="Times New Roman" w:cs="Arial"/>
                <w:bCs/>
                <w:sz w:val="20"/>
                <w:szCs w:val="20"/>
                <w:lang w:val="sl-si"/>
              </w:rPr>
              <w:t>Manjša</w:t>
            </w:r>
          </w:p>
        </w:tc>
        <w:tc>
          <w:tcPr>
            <w:tcW w:w="3470"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eastAsia="Times New Roman" w:cs="Arial"/>
                <w:bCs/>
                <w:sz w:val="20"/>
                <w:szCs w:val="20"/>
                <w:lang w:val="sl-si"/>
              </w:rPr>
            </w:pPr>
            <w:r>
              <w:rPr>
                <w:rFonts w:ascii="Verdana" w:hAnsi="Verdana" w:eastAsia="Times New Roman" w:cs="Arial"/>
                <w:bCs/>
                <w:sz w:val="20"/>
                <w:szCs w:val="20"/>
                <w:lang w:val="sl-si"/>
              </w:rPr>
              <w:t>48 ur</w:t>
            </w:r>
          </w:p>
        </w:tc>
        <w:tc>
          <w:tcPr>
            <w:tcW w:w="3470" w:type="dxa"/>
            <w:shd w:val="solid" w:color="FFF0D5" tmshd="1677721856, 0, 14020863"/>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jc w:val="both"/>
              <w:widowControl w:val="0"/>
              <w:rPr>
                <w:rFonts w:ascii="Verdana" w:hAnsi="Verdana" w:eastAsia="Times New Roman" w:cs="Arial"/>
                <w:bCs/>
                <w:sz w:val="20"/>
                <w:szCs w:val="20"/>
                <w:lang w:val="sl-si"/>
              </w:rPr>
            </w:pPr>
            <w:r>
              <w:rPr>
                <w:rFonts w:ascii="Verdana" w:hAnsi="Verdana" w:eastAsia="Times New Roman" w:cs="Arial"/>
                <w:bCs/>
                <w:sz w:val="20"/>
                <w:szCs w:val="20"/>
                <w:lang w:val="sl-si"/>
              </w:rPr>
              <w:t>3 delovne dni</w:t>
            </w:r>
          </w:p>
        </w:tc>
      </w:tr>
    </w:tbl>
    <w:p>
      <w:pPr>
        <w:pStyle w:val="para38"/>
        <w:ind w:left="1440"/>
        <w:spacing w:after="0" w:line="240" w:lineRule="auto"/>
        <w:jc w:val="both"/>
        <w:widowControl w:val="0"/>
        <w:rPr>
          <w:rFonts w:ascii="Verdana" w:hAnsi="Verdana"/>
          <w:sz w:val="20"/>
          <w:szCs w:val="20"/>
          <w:lang w:val="sl-si"/>
        </w:rPr>
      </w:pPr>
      <w:r>
        <w:rPr>
          <w:rFonts w:ascii="Verdana" w:hAnsi="Verdana"/>
          <w:sz w:val="20"/>
          <w:szCs w:val="20"/>
          <w:lang w:val="sl-si"/>
        </w:rPr>
      </w:r>
    </w:p>
    <w:p>
      <w:pPr>
        <w:pStyle w:val="para38"/>
        <w:numPr>
          <w:ilvl w:val="0"/>
          <w:numId w:val="16"/>
        </w:numPr>
        <w:ind w:left="720" w:hanging="360"/>
        <w:spacing w:after="0" w:line="240" w:lineRule="auto"/>
        <w:jc w:val="both"/>
        <w:widowControl w:val="0"/>
        <w:rPr>
          <w:rFonts w:ascii="Verdana" w:hAnsi="Verdana"/>
          <w:sz w:val="20"/>
          <w:szCs w:val="20"/>
          <w:lang w:val="sl-si"/>
        </w:rPr>
      </w:pPr>
      <w:r>
        <w:rPr>
          <w:rFonts w:ascii="Verdana" w:hAnsi="Verdana" w:cs="Arial"/>
          <w:sz w:val="20"/>
          <w:szCs w:val="20"/>
          <w:lang w:val="sl-si"/>
        </w:rPr>
        <w:t xml:space="preserve">V primeru kritične napake lahko odgovorna oseba naročnika po telefonu kadarkoli (24/7) obvesti odgovorno osebo izvajalca in skupaj določita način intervencije. </w:t>
      </w:r>
      <w:r>
        <w:rPr>
          <w:rFonts w:ascii="Verdana" w:hAnsi="Verdana"/>
          <w:sz w:val="20"/>
          <w:szCs w:val="20"/>
          <w:lang w:val="sl-si"/>
        </w:rPr>
      </w:r>
    </w:p>
    <w:p>
      <w:pPr>
        <w:pStyle w:val="para38"/>
        <w:numPr>
          <w:ilvl w:val="0"/>
          <w:numId w:val="16"/>
        </w:numPr>
        <w:ind w:left="720" w:hanging="360"/>
        <w:spacing w:after="0" w:line="240" w:lineRule="auto"/>
        <w:jc w:val="both"/>
        <w:widowControl w:val="0"/>
        <w:rPr>
          <w:rFonts w:ascii="Verdana" w:hAnsi="Verdana"/>
          <w:sz w:val="20"/>
          <w:szCs w:val="20"/>
          <w:lang w:val="sl-si"/>
        </w:rPr>
      </w:pPr>
      <w:r>
        <w:rPr>
          <w:rFonts w:ascii="Verdana" w:hAnsi="Verdana" w:cs="Arial"/>
          <w:sz w:val="20"/>
          <w:szCs w:val="20"/>
          <w:lang w:val="sl-si"/>
        </w:rPr>
        <w:t xml:space="preserve">Izvajalec je za odpravo kritične in resne napake dolžan vršiti kontinuirano reševanje do njene odprave, za manjšo napako pa v svojem rednem delovnem času. </w:t>
      </w:r>
      <w:r>
        <w:rPr>
          <w:rFonts w:ascii="Verdana" w:hAnsi="Verdana"/>
          <w:sz w:val="20"/>
          <w:szCs w:val="20"/>
          <w:lang w:val="sl-si"/>
        </w:rPr>
      </w:r>
    </w:p>
    <w:p>
      <w:pPr>
        <w:pStyle w:val="para38"/>
        <w:numPr>
          <w:ilvl w:val="0"/>
          <w:numId w:val="16"/>
        </w:numPr>
        <w:ind w:left="720" w:hanging="360"/>
        <w:spacing w:after="0" w:line="240" w:lineRule="auto"/>
        <w:jc w:val="both"/>
        <w:widowControl w:val="0"/>
        <w:rPr>
          <w:rFonts w:ascii="Verdana" w:hAnsi="Verdana"/>
          <w:sz w:val="20"/>
          <w:szCs w:val="20"/>
          <w:lang w:val="sl-si"/>
        </w:rPr>
      </w:pPr>
      <w:r>
        <w:rPr>
          <w:rFonts w:ascii="Verdana" w:hAnsi="Verdana" w:cs="Arial"/>
          <w:sz w:val="20"/>
          <w:szCs w:val="20"/>
          <w:lang w:val="sl-si"/>
        </w:rPr>
        <w:t xml:space="preserve">Do odprave napake je izvajalec dolžan naročniku redno poročati o stanju odpravljanja napake. </w:t>
      </w:r>
      <w:r>
        <w:rPr>
          <w:rFonts w:ascii="Verdana" w:hAnsi="Verdana"/>
          <w:sz w:val="20"/>
          <w:szCs w:val="20"/>
          <w:lang w:val="sl-si"/>
        </w:rPr>
      </w:r>
    </w:p>
    <w:p>
      <w:pPr>
        <w:pStyle w:val="para38"/>
        <w:numPr>
          <w:ilvl w:val="0"/>
          <w:numId w:val="16"/>
        </w:numPr>
        <w:ind w:left="720" w:hanging="360"/>
        <w:spacing w:after="0" w:line="240" w:lineRule="auto"/>
        <w:jc w:val="both"/>
        <w:widowControl w:val="0"/>
        <w:rPr>
          <w:rFonts w:ascii="Verdana" w:hAnsi="Verdana"/>
          <w:sz w:val="20"/>
          <w:szCs w:val="20"/>
          <w:lang w:val="sl-si"/>
        </w:rPr>
      </w:pPr>
      <w:r>
        <w:rPr>
          <w:rFonts w:ascii="Verdana" w:hAnsi="Verdana" w:cs="Arial"/>
          <w:sz w:val="20"/>
          <w:szCs w:val="20"/>
          <w:lang w:val="sl-si"/>
        </w:rPr>
        <w:t xml:space="preserve">Po odpravi napake mora programska oprema, kjer se je napaka odpravljala, delovati popolno, tako kot pred nastankom napake, prav tako pa mora izvajalec zagotoviti, da po odpravi napake popolno deluje tudi morebitna druga programska oprema ali sistemi, ki so povezani s programsko opremo, kjer se je napaka pojavila. </w:t>
      </w:r>
      <w:r>
        <w:rPr>
          <w:rFonts w:ascii="Verdana" w:hAnsi="Verdana"/>
          <w:sz w:val="20"/>
          <w:szCs w:val="20"/>
          <w:lang w:val="sl-si"/>
        </w:rPr>
      </w:r>
    </w:p>
    <w:p>
      <w:pPr>
        <w:pStyle w:val="para38"/>
        <w:numPr>
          <w:ilvl w:val="0"/>
          <w:numId w:val="16"/>
        </w:numPr>
        <w:ind w:left="720" w:hanging="360"/>
        <w:spacing w:after="120" w:line="240" w:lineRule="auto"/>
        <w:jc w:val="both"/>
        <w:widowControl w:val="0"/>
        <w:rPr>
          <w:rFonts w:ascii="Verdana" w:hAnsi="Verdana"/>
          <w:sz w:val="20"/>
          <w:szCs w:val="20"/>
          <w:lang w:val="sl-si"/>
        </w:rPr>
      </w:pPr>
      <w:r>
        <w:rPr>
          <w:rFonts w:ascii="Verdana" w:hAnsi="Verdana" w:cs="Arial"/>
          <w:sz w:val="20"/>
          <w:szCs w:val="20"/>
          <w:lang w:val="sl-si"/>
        </w:rPr>
        <w:t>Naročnik mora izvajalcu omogočiti oddaljeni dostop do vsake lokacije.</w:t>
      </w:r>
      <w:r>
        <w:rPr>
          <w:rFonts w:ascii="Verdana" w:hAnsi="Verdana"/>
          <w:sz w:val="20"/>
          <w:szCs w:val="20"/>
          <w:lang w:val="sl-si"/>
        </w:rPr>
      </w:r>
    </w:p>
    <w:p>
      <w:pPr>
        <w:spacing w:after="0" w:line="240" w:lineRule="auto"/>
        <w:jc w:val="both"/>
        <w:rPr>
          <w:rFonts w:ascii="Verdana" w:hAnsi="Verdana" w:cs="Arial"/>
          <w:sz w:val="20"/>
          <w:szCs w:val="20"/>
          <w:lang w:val="sl-si"/>
        </w:rPr>
      </w:pPr>
      <w:r>
        <w:rPr>
          <w:rFonts w:ascii="Verdana" w:hAnsi="Verdana" w:cs="Arial"/>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NAPAKE V POVEZAVI S PROGRAMSKO OPREMO DRUGEGA PROIZVAJALCA</w:t>
      </w:r>
    </w:p>
    <w:p>
      <w:pPr>
        <w:pStyle w:val="para38"/>
        <w:numPr>
          <w:ilvl w:val="0"/>
          <w:numId w:val="14"/>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V primeru pojava napake pri integraciji s produktom drugega proizvajalca se naročnik, izvajalec ter drugi proizvajalec dogovorijo o odpravi napake, izvajalec pa se zaveže ažurno, vestno in strokovno sodelovati pri zaznavanju ter identifikaciji in odpravi napake.</w:t>
      </w:r>
    </w:p>
    <w:p>
      <w:pPr>
        <w:pStyle w:val="para38"/>
        <w:numPr>
          <w:ilvl w:val="0"/>
          <w:numId w:val="14"/>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Ne glede na prejšnji odstavek tega člena je v primeru, da se napaka pri integraciji s produktom drugega proizvajalca pojavi zaradi napake v programski opremi izvajalca ali zaradi odpravljanja napake v programski opremi izvajalca, izvajalec dolžan napako odpraviti v okviru vzdrževanja po tej pogodbi.</w:t>
      </w:r>
    </w:p>
    <w:p>
      <w:pPr>
        <w:pStyle w:val="para38"/>
        <w:numPr>
          <w:ilvl w:val="0"/>
          <w:numId w:val="14"/>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V primeru odprave napak, ki niso predmet vzdrževanja po tej pogodbi se izvedeno delo obračuna v skladu s ponudbo izvajalca – predračunom. Cena slednjega ne sme biti višja kot je cena na trgu za tovrstne storitve.</w:t>
      </w:r>
    </w:p>
    <w:p>
      <w:pPr>
        <w:spacing w:after="0" w:line="240" w:lineRule="auto"/>
        <w:jc w:val="both"/>
        <w:rPr>
          <w:rFonts w:ascii="Verdana" w:hAnsi="Verdana" w:cs="Arial"/>
          <w:sz w:val="20"/>
          <w:szCs w:val="20"/>
          <w:lang w:val="sl-si"/>
        </w:rPr>
      </w:pPr>
      <w:r>
        <w:rPr>
          <w:rFonts w:ascii="Verdana" w:hAnsi="Verdana" w:cs="Arial"/>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NAČIN KOMUNIKACIJE</w:t>
      </w:r>
    </w:p>
    <w:p>
      <w:pPr>
        <w:pStyle w:val="para38"/>
        <w:numPr>
          <w:ilvl w:val="0"/>
          <w:numId w:val="11"/>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Komunikacija praviloma poteka preko odgovornih oseb obeh pogodbenih strank, ki sta:</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Odgovorna oseba na strani naročnika, ki ima pooblastila za naročanje del je _____________;</w:t>
      </w:r>
    </w:p>
    <w:p>
      <w:pPr>
        <w:pStyle w:val="para38"/>
        <w:numPr>
          <w:ilvl w:val="0"/>
          <w:numId w:val="1"/>
        </w:numPr>
        <w:ind w:left="1440" w:hanging="360"/>
        <w:spacing w:after="120" w:line="240" w:lineRule="auto"/>
        <w:jc w:val="both"/>
        <w:widowControl w:val="0"/>
        <w:rPr>
          <w:rFonts w:ascii="Verdana" w:hAnsi="Verdana"/>
          <w:sz w:val="20"/>
          <w:szCs w:val="20"/>
          <w:lang w:val="sl-si"/>
        </w:rPr>
      </w:pPr>
      <w:r/>
      <w:bookmarkStart w:id="1" w:name="_Hlk64373983"/>
      <w:r/>
      <w:r>
        <w:rPr>
          <w:rFonts w:ascii="Verdana" w:hAnsi="Verdana"/>
          <w:sz w:val="20"/>
          <w:szCs w:val="20"/>
          <w:lang w:val="sl-si"/>
        </w:rPr>
        <w:t>Odgovorna oseba na strani izvajalca je _____________;</w:t>
      </w:r>
      <w:r/>
      <w:bookmarkEnd w:id="1"/>
      <w:r/>
      <w:r>
        <w:rPr>
          <w:rFonts w:ascii="Verdana" w:hAnsi="Verdana"/>
          <w:sz w:val="20"/>
          <w:szCs w:val="20"/>
          <w:lang w:val="sl-si"/>
        </w:rPr>
      </w:r>
    </w:p>
    <w:p>
      <w:pPr>
        <w:pStyle w:val="para38"/>
        <w:numPr>
          <w:ilvl w:val="0"/>
          <w:numId w:val="11"/>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 xml:space="preserve">Izvajalec storitve vzdrževanja izvede na osnovi obvestila o napaki, podanega s strani naročnika. </w:t>
      </w:r>
    </w:p>
    <w:p>
      <w:pPr>
        <w:pStyle w:val="para38"/>
        <w:numPr>
          <w:ilvl w:val="0"/>
          <w:numId w:val="11"/>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Naročnik obvestilo o napaki izvajalcu posreduje na naslednje (med seboj ekvivalentne) načine:</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z uporabo izvajalčeve spletne aplikacije za pomoč in podporo uporabnikom https://___________ ali</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s klicem na telefonsko številko centra za pomoč uporabnikom pri izvajalcu ___________ ali</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po elektronski pošti __________ali</w:t>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v primeru kritičnih napak s klicem na dežurno telefonsko številko (velja izven rednega delovnega časa)___________.</w:t>
      </w:r>
    </w:p>
    <w:p>
      <w:pPr>
        <w:spacing w:after="0" w:line="240" w:lineRule="auto"/>
        <w:jc w:val="both"/>
        <w:rPr>
          <w:rFonts w:ascii="Verdana" w:hAnsi="Verdana" w:cs="Arial"/>
          <w:sz w:val="20"/>
          <w:szCs w:val="20"/>
          <w:lang w:val="sl-si"/>
        </w:rPr>
      </w:pPr>
      <w:r>
        <w:rPr>
          <w:rFonts w:ascii="Verdana" w:hAnsi="Verdana" w:cs="Arial"/>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OBVESTILO O NAPAKI</w:t>
      </w:r>
    </w:p>
    <w:p>
      <w:pPr>
        <w:pStyle w:val="para38"/>
        <w:numPr>
          <w:ilvl w:val="0"/>
          <w:numId w:val="8"/>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Naročnik v obvestilu o napaki navede naslednje podatke:</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ime in priimek kontaktne osebe oz. prijavitelja,</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telefonsko številko prijavitelja,</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vrsto napake (kritična, resna ali manjša),</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lokacijo napake,</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kratek opis napake,</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po potrebi podroben opis napake (opis težave ali posnetek ekrana v elektronski obliki, opredelitev vprašanja, del programske opreme, napaka v dokumentaciji, drugo),</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po potrebi opis strojnega okolja (tip računalnika, procesor in hitrost, velikost spomina in diska, verzija programske opreme),</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če je to mogoče; ponovljivost napake, (opis zaporedja ukazov oziroma okoliščin, pri katerih pride do napake),</w:t>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morebitni obstoj pomožne rešitve in, če obstaja, njen opis.</w:t>
      </w:r>
    </w:p>
    <w:p>
      <w:pPr>
        <w:pStyle w:val="para38"/>
        <w:numPr>
          <w:ilvl w:val="0"/>
          <w:numId w:val="8"/>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 xml:space="preserve">Izvajalec je dolžan najkasneje v pogodbeno določenih odzivnih časih odgovoriti na naročnikovo sporočilo o napakah oz. težavah in pristopiti k njihovi odpravi. </w:t>
      </w:r>
    </w:p>
    <w:p>
      <w:pPr>
        <w:pStyle w:val="para38"/>
        <w:numPr>
          <w:ilvl w:val="0"/>
          <w:numId w:val="8"/>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bo po preteku odzivnega časa vršil kontinuirano reševanje za odpravo kritične napake ter za resno in manjšo napako v svojem rednem delovnem času do odprave napake. Izvajalec je dolžan poročati o stanju odprave napake.</w:t>
      </w:r>
    </w:p>
    <w:p>
      <w:pPr>
        <w:spacing w:after="0" w:line="240" w:lineRule="auto"/>
        <w:jc w:val="both"/>
        <w:rPr>
          <w:rFonts w:ascii="Verdana" w:hAnsi="Verdana" w:cs="Arial"/>
          <w:sz w:val="20"/>
          <w:szCs w:val="20"/>
          <w:lang w:val="sl-si"/>
        </w:rPr>
      </w:pPr>
      <w:r>
        <w:rPr>
          <w:rFonts w:ascii="Verdana" w:hAnsi="Verdana" w:cs="Arial"/>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DODATNE REŠITVE</w:t>
      </w:r>
    </w:p>
    <w:p>
      <w:pPr>
        <w:pStyle w:val="para38"/>
        <w:numPr>
          <w:ilvl w:val="0"/>
          <w:numId w:val="19"/>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Naročnik ima pravico do uporabe standardnih modulov oz. rešitev.</w:t>
      </w:r>
    </w:p>
    <w:p>
      <w:pPr>
        <w:pStyle w:val="para38"/>
        <w:numPr>
          <w:ilvl w:val="0"/>
          <w:numId w:val="19"/>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Standardni modul je vsaka rešitev, ki:</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je že razvita v okviru produkta,</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se razvija in so zanj zainteresirani vsaj trije imetniki izvajalčevega IS,</w:t>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bo razvita v času trajanja te pogodbe in bo vključen v paket standardnih modulov oz. rešitev.</w:t>
      </w:r>
    </w:p>
    <w:p>
      <w:pPr>
        <w:pStyle w:val="para38"/>
        <w:numPr>
          <w:ilvl w:val="0"/>
          <w:numId w:val="19"/>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Za uvedbo posameznega standardnega modula morata naročnik in izvajalec:</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določiti odgovorni osebi za uvedbo: na strani naročnika in na strani izvajalca,</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izdelati in uskladiti terminski plan uvedbe,</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izdelati in uskladiti dokument (funkcionalni dizajn), ki opisuje način uporabe modula pri naročniku,</w:t>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po uvedbi modula podpisati prevzemni zapisnik.</w:t>
      </w:r>
    </w:p>
    <w:p>
      <w:pPr>
        <w:spacing w:after="0" w:line="240" w:lineRule="auto"/>
        <w:jc w:val="both"/>
        <w:rPr>
          <w:rFonts w:ascii="Verdana" w:hAnsi="Verdana" w:cs="Arial"/>
          <w:sz w:val="20"/>
          <w:szCs w:val="20"/>
          <w:lang w:val="sl-si"/>
        </w:rPr>
      </w:pPr>
      <w:r>
        <w:rPr>
          <w:rFonts w:ascii="Verdana" w:hAnsi="Verdana" w:cs="Arial"/>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REGULATORNE SPREMEMBE</w:t>
      </w:r>
    </w:p>
    <w:p>
      <w:pPr>
        <w:pStyle w:val="para38"/>
        <w:numPr>
          <w:ilvl w:val="0"/>
          <w:numId w:val="15"/>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V ceni vzdrževanja so zajete vse prilagoditve IS zaradi regulatorne spremembe, ne glede na vsebino in obseg in jih mora izvajalec upoštevati in implementirati pri naročniku.</w:t>
      </w:r>
    </w:p>
    <w:p>
      <w:pPr>
        <w:pStyle w:val="para38"/>
        <w:numPr>
          <w:ilvl w:val="0"/>
          <w:numId w:val="15"/>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Regulatorne spremembe so zakoni, Okrožnice ZZZS, metodološka navodila in ostali pravilniki, izdani s strani MZ, ZZZS in IVZ.</w:t>
      </w:r>
    </w:p>
    <w:p>
      <w:pPr>
        <w:pStyle w:val="para38"/>
        <w:numPr>
          <w:ilvl w:val="0"/>
          <w:numId w:val="15"/>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Izvajalec je dolžan spremljati regulatorne spremembe: okrožnice ZZZS, Metodološka navodila IVZ, spremembo zakonov na področju zdravstva.</w:t>
      </w:r>
    </w:p>
    <w:p>
      <w:pPr>
        <w:pStyle w:val="para38"/>
        <w:numPr>
          <w:ilvl w:val="0"/>
          <w:numId w:val="15"/>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 xml:space="preserve">Regulatorne spremembe imajo pogosto zelo kratek rok izvedbe oz. je začetek veljavnosti spremembe objavljen za preteklo obdobje. Zato se morata naročnik in izvajalec dogovoriti o roku izvedbe. </w:t>
      </w:r>
    </w:p>
    <w:p>
      <w:pPr>
        <w:pStyle w:val="para38"/>
        <w:numPr>
          <w:ilvl w:val="0"/>
          <w:numId w:val="15"/>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Če se izvajalec in naročnik ne dogovorita glede roka izvedbe se šteje, da velja rok izvedbe do pričetka veljavnosti regulatorne spremembe.</w:t>
      </w:r>
    </w:p>
    <w:p>
      <w:pPr>
        <w:pStyle w:val="para38"/>
        <w:numPr>
          <w:ilvl w:val="0"/>
          <w:numId w:val="15"/>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Izvajalec v dogovorjenem roku v skladu z določili te pogodbe nadgradi produkte ter jih distribuira naročniku.</w:t>
      </w:r>
    </w:p>
    <w:p>
      <w:pPr>
        <w:pStyle w:val="para38"/>
        <w:numPr>
          <w:ilvl w:val="0"/>
          <w:numId w:val="15"/>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Naročnik se obveže, da bo koordinator dobro prebral navodila, jih po potrebi opremil z internimi informacijami in posredoval končnim uporabnikom. Poleg tega bo po navodilih o namestitvi izvedel potrebne nastavitve na sistemu. O izvedbi nadgradnje in nastavitvah bo posredoval informacijo k izvajalcu.</w:t>
      </w:r>
    </w:p>
    <w:p>
      <w:pPr>
        <w:pStyle w:val="para38"/>
        <w:numPr>
          <w:ilvl w:val="0"/>
          <w:numId w:val="15"/>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V kolikor izvajalec v zahtevanem roku ne prilagodi programske opreme regulatorni spremembi je naročnik upravičen zaračunati pogodbeno kazen.</w:t>
      </w:r>
    </w:p>
    <w:p>
      <w:pPr>
        <w:ind w:left="720"/>
        <w:spacing w:after="0" w:line="240" w:lineRule="auto"/>
        <w:jc w:val="both"/>
        <w:rPr>
          <w:rFonts w:ascii="Verdana" w:hAnsi="Verdana" w:eastAsia="Times New Roman" w:cs="Arial"/>
          <w:bCs/>
          <w:sz w:val="20"/>
          <w:szCs w:val="20"/>
          <w:lang w:val="sl-si"/>
        </w:rPr>
      </w:pPr>
      <w:r>
        <w:rPr>
          <w:rFonts w:ascii="Verdana" w:hAnsi="Verdana" w:eastAsia="Times New Roman" w:cs="Arial"/>
          <w:bCs/>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RAZVOJ NOVIH REŠITEV</w:t>
      </w:r>
    </w:p>
    <w:p>
      <w:pPr>
        <w:pStyle w:val="para38"/>
        <w:numPr>
          <w:ilvl w:val="0"/>
          <w:numId w:val="10"/>
        </w:numPr>
        <w:ind w:left="720" w:hanging="360"/>
        <w:spacing w:after="0" w:line="240" w:lineRule="auto"/>
        <w:jc w:val="both"/>
        <w:widowControl w:val="0"/>
        <w:rPr>
          <w:rFonts w:ascii="Verdana" w:hAnsi="Verdana"/>
          <w:sz w:val="20"/>
          <w:szCs w:val="20"/>
          <w:lang w:val="sl-si"/>
        </w:rPr>
      </w:pPr>
      <w:r>
        <w:rPr>
          <w:rFonts w:ascii="Verdana" w:hAnsi="Verdana" w:cs="Arial"/>
          <w:sz w:val="20"/>
          <w:szCs w:val="20"/>
          <w:lang w:val="sl-si"/>
        </w:rPr>
        <w:t xml:space="preserve">Naročnik lahko pristopi k sodelovanju pri razvoju nove programske rešitve oz. modulov. </w:t>
      </w:r>
      <w:r>
        <w:rPr>
          <w:rFonts w:ascii="Verdana" w:hAnsi="Verdana"/>
          <w:sz w:val="20"/>
          <w:szCs w:val="20"/>
          <w:lang w:val="sl-si"/>
        </w:rPr>
      </w:r>
    </w:p>
    <w:p>
      <w:pPr>
        <w:pStyle w:val="para38"/>
        <w:numPr>
          <w:ilvl w:val="0"/>
          <w:numId w:val="10"/>
        </w:numPr>
        <w:ind w:left="720" w:hanging="360"/>
        <w:spacing w:after="120" w:line="240" w:lineRule="auto"/>
        <w:jc w:val="both"/>
        <w:widowControl w:val="0"/>
        <w:rPr>
          <w:rFonts w:ascii="Verdana" w:hAnsi="Verdana"/>
          <w:sz w:val="20"/>
          <w:szCs w:val="20"/>
          <w:lang w:val="sl-si"/>
        </w:rPr>
      </w:pPr>
      <w:r>
        <w:rPr>
          <w:rFonts w:ascii="Verdana" w:hAnsi="Verdana" w:cs="Arial"/>
          <w:sz w:val="20"/>
          <w:szCs w:val="20"/>
          <w:lang w:val="sl-si"/>
        </w:rPr>
        <w:t>V kolikor gre za razvoj standardnih modulov oz. rešitev se izvajalec in naročnik uskladita o:</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vsebini modula po naročilu,</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obsegu potrebnega dela,</w:t>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načinu in terminu uvajanja modula pri uporabniku.</w:t>
      </w:r>
    </w:p>
    <w:p>
      <w:pPr>
        <w:pStyle w:val="para38"/>
        <w:numPr>
          <w:ilvl w:val="0"/>
          <w:numId w:val="1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Za uvedbo posameznega standardnega modula morata izvajalec in naročnik:</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določiti odgovorni osebi za uvedbo: na strani naročnika in na strani izvajalca,</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izdelati in uskladiti terminski plan uvedbe,</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izdelati in uskladiti dokument (funkcionalni dizajn), ki opisuje način delovanja in uporabe modula pri naročniku,</w:t>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po uvedbi modula podpisati prevzemni zapisnik.</w:t>
      </w:r>
    </w:p>
    <w:p>
      <w:pPr>
        <w:pStyle w:val="para38"/>
        <w:numPr>
          <w:ilvl w:val="0"/>
          <w:numId w:val="10"/>
        </w:numPr>
        <w:ind w:left="720" w:hanging="360"/>
        <w:spacing w:after="0" w:line="240" w:lineRule="auto"/>
        <w:jc w:val="both"/>
        <w:widowControl w:val="0"/>
        <w:rPr>
          <w:rFonts w:ascii="Verdana" w:hAnsi="Verdana"/>
          <w:sz w:val="20"/>
          <w:szCs w:val="20"/>
          <w:lang w:val="sl-si"/>
        </w:rPr>
      </w:pPr>
      <w:r>
        <w:rPr>
          <w:rFonts w:ascii="Verdana" w:hAnsi="Verdana" w:cs="Arial"/>
          <w:sz w:val="20"/>
          <w:szCs w:val="20"/>
          <w:lang w:val="sl-si"/>
        </w:rPr>
        <w:t>V kolikor naročnik pristopi k sodelovanju pri razvoju nove rešitve oz. modula, ki ni standardna rešitev (zanimiva za ostale uporabnike izvajalčevega IS), se pogodbeni stranki o tem dogovorita s posebnim aneksom k tej pogodbi ali s posebno pogodbo.</w:t>
      </w:r>
      <w:r>
        <w:rPr>
          <w:rFonts w:ascii="Verdana" w:hAnsi="Verdana"/>
          <w:sz w:val="20"/>
          <w:szCs w:val="20"/>
          <w:lang w:val="sl-si"/>
        </w:rPr>
      </w:r>
    </w:p>
    <w:p>
      <w:pPr>
        <w:pStyle w:val="para38"/>
        <w:numPr>
          <w:ilvl w:val="0"/>
          <w:numId w:val="10"/>
        </w:numPr>
        <w:ind w:left="720" w:hanging="360"/>
        <w:spacing w:after="120" w:line="240" w:lineRule="auto"/>
        <w:jc w:val="both"/>
        <w:widowControl w:val="0"/>
        <w:rPr>
          <w:rFonts w:ascii="Verdana" w:hAnsi="Verdana"/>
          <w:sz w:val="20"/>
          <w:szCs w:val="20"/>
          <w:lang w:val="sl-si"/>
        </w:rPr>
      </w:pPr>
      <w:r>
        <w:rPr>
          <w:rFonts w:ascii="Verdana" w:hAnsi="Verdana" w:cs="Arial"/>
          <w:sz w:val="20"/>
          <w:szCs w:val="20"/>
          <w:lang w:val="sl-si"/>
        </w:rPr>
        <w:t>Naročnik in izvajalec se v aneksu oziroma v posebni pogodbi iz prejšnjega odstavka tega člena dogovorita o:</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cs="Arial"/>
          <w:sz w:val="20"/>
          <w:szCs w:val="20"/>
          <w:lang w:val="sl-si"/>
        </w:rPr>
        <w:t>odgovornih osebah na strani naročnika in izvajalca,</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cs="Arial"/>
          <w:sz w:val="20"/>
          <w:szCs w:val="20"/>
          <w:lang w:val="sl-si"/>
        </w:rPr>
        <w:t>vsebini nove programske opreme,</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cs="Arial"/>
          <w:sz w:val="20"/>
          <w:szCs w:val="20"/>
          <w:lang w:val="sl-si"/>
        </w:rPr>
        <w:t>načinu sodelovanja naročnika pri razvoju,</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cs="Arial"/>
          <w:sz w:val="20"/>
          <w:szCs w:val="20"/>
          <w:lang w:val="sl-si"/>
        </w:rPr>
        <w:t>obsegu sodelovanja naročnika pri razvoju,</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cs="Arial"/>
          <w:sz w:val="20"/>
          <w:szCs w:val="20"/>
          <w:lang w:val="sl-si"/>
        </w:rPr>
        <w:t>terminskem planu sodelovanja, razvoja, namestitve, testiranja in usposabljanja,</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cs="Arial"/>
          <w:sz w:val="20"/>
          <w:szCs w:val="20"/>
          <w:lang w:val="sl-si"/>
        </w:rPr>
        <w:t>dokumentu (funkcionalni dizajn), ki opisuje način delovanja in uporabe programske opreme pri naročniku,</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cs="Arial"/>
          <w:sz w:val="20"/>
          <w:szCs w:val="20"/>
          <w:lang w:val="sl-si"/>
        </w:rPr>
        <w:t>načinu testiranja nove programske opreme pri naročniku,</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cs="Arial"/>
          <w:sz w:val="20"/>
          <w:szCs w:val="20"/>
          <w:lang w:val="sl-si"/>
        </w:rPr>
        <w:t>namestitvi in konfiguraciji nove programske opreme pri naročniku,</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cs="Arial"/>
          <w:sz w:val="20"/>
          <w:szCs w:val="20"/>
          <w:lang w:val="sl-si"/>
        </w:rPr>
        <w:t>usposabljanju uporabnikov za uporabo nove programske opreme pri naročniku,</w:t>
      </w:r>
      <w:r>
        <w:rPr>
          <w:rFonts w:ascii="Verdana" w:hAnsi="Verdana"/>
          <w:sz w:val="20"/>
          <w:szCs w:val="20"/>
          <w:lang w:val="sl-si"/>
        </w:rPr>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cs="Arial"/>
          <w:sz w:val="20"/>
          <w:szCs w:val="20"/>
          <w:lang w:val="sl-si"/>
        </w:rPr>
        <w:t>ceni vzdrževanja nove programske opreme.</w:t>
      </w:r>
      <w:r>
        <w:rPr>
          <w:rFonts w:ascii="Verdana" w:hAnsi="Verdana"/>
          <w:sz w:val="20"/>
          <w:szCs w:val="20"/>
          <w:lang w:val="sl-si"/>
        </w:rPr>
      </w:r>
    </w:p>
    <w:p>
      <w:pPr>
        <w:pStyle w:val="para38"/>
        <w:numPr>
          <w:ilvl w:val="0"/>
          <w:numId w:val="10"/>
        </w:numPr>
        <w:ind w:left="720" w:hanging="360"/>
        <w:spacing w:after="120" w:line="240" w:lineRule="auto"/>
        <w:jc w:val="both"/>
        <w:widowControl w:val="0"/>
        <w:rPr>
          <w:rFonts w:ascii="Verdana" w:hAnsi="Verdana"/>
          <w:sz w:val="20"/>
          <w:szCs w:val="20"/>
          <w:lang w:val="sl-si"/>
        </w:rPr>
      </w:pPr>
      <w:r>
        <w:rPr>
          <w:rFonts w:ascii="Verdana" w:hAnsi="Verdana" w:cs="Arial"/>
          <w:sz w:val="20"/>
          <w:szCs w:val="20"/>
          <w:lang w:val="sl-si"/>
        </w:rPr>
        <w:t>Pogodbeni stranki se dogovorita, da izvajalec novo programsko opremo vzdržuje pri naročniku v skladu s to pogodbo.</w:t>
      </w:r>
      <w:r>
        <w:rPr>
          <w:rFonts w:ascii="Verdana" w:hAnsi="Verdana"/>
          <w:sz w:val="20"/>
          <w:szCs w:val="20"/>
          <w:lang w:val="sl-si"/>
        </w:rPr>
      </w:r>
    </w:p>
    <w:p>
      <w:pPr>
        <w:spacing w:after="0" w:line="240" w:lineRule="auto"/>
        <w:rPr>
          <w:rFonts w:ascii="Verdana" w:hAnsi="Verdana" w:eastAsia="Times New Roman" w:cs="Arial"/>
          <w:sz w:val="20"/>
          <w:szCs w:val="20"/>
          <w:lang w:val="sl-si" w:eastAsia="sl-si"/>
        </w:rPr>
      </w:pPr>
      <w:r>
        <w:rPr>
          <w:rFonts w:ascii="Verdana" w:hAnsi="Verdana" w:eastAsia="Times New Roman" w:cs="Arial"/>
          <w:sz w:val="20"/>
          <w:szCs w:val="20"/>
          <w:lang w:val="sl-si" w:eastAsia="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PREVENTIVNI PREGLEDI</w:t>
      </w:r>
    </w:p>
    <w:p>
      <w:pPr>
        <w:pStyle w:val="para38"/>
        <w:numPr>
          <w:ilvl w:val="0"/>
          <w:numId w:val="6"/>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naročniku izvaja redne kvartalne preventivne preglede okolja, v katerem deluje programska oprema z namenom proaktivnega opozarjanja na kritične elemente okolja (diskovne kapacitete, obremenitev procesorja…)</w:t>
      </w:r>
    </w:p>
    <w:p>
      <w:pPr>
        <w:spacing w:after="0" w:line="240" w:lineRule="auto"/>
        <w:rPr>
          <w:rFonts w:ascii="Verdana" w:hAnsi="Verdana" w:eastAsia="Times New Roman" w:cs="Arial"/>
          <w:sz w:val="20"/>
          <w:szCs w:val="20"/>
          <w:lang w:val="sl-si" w:eastAsia="sl-si"/>
        </w:rPr>
      </w:pPr>
      <w:r>
        <w:rPr>
          <w:rFonts w:ascii="Verdana" w:hAnsi="Verdana" w:eastAsia="Times New Roman" w:cs="Arial"/>
          <w:sz w:val="20"/>
          <w:szCs w:val="20"/>
          <w:lang w:val="sl-si" w:eastAsia="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POSTOPEK NAMESTITVE NOVIH REŠITEV</w:t>
      </w:r>
    </w:p>
    <w:p>
      <w:pPr>
        <w:pStyle w:val="para38"/>
        <w:numPr>
          <w:ilvl w:val="0"/>
          <w:numId w:val="20"/>
        </w:numPr>
        <w:ind w:left="720" w:hanging="360"/>
        <w:spacing w:after="0" w:line="240" w:lineRule="auto"/>
        <w:jc w:val="both"/>
        <w:widowControl w:val="0"/>
        <w:rPr>
          <w:rFonts w:ascii="Verdana" w:hAnsi="Verdana"/>
          <w:sz w:val="20"/>
          <w:szCs w:val="20"/>
          <w:lang w:val="sl-si"/>
        </w:rPr>
      </w:pPr>
      <w:r>
        <w:rPr>
          <w:rFonts w:ascii="Verdana" w:hAnsi="Verdana" w:cs="Arial"/>
          <w:sz w:val="20"/>
          <w:szCs w:val="20"/>
          <w:lang w:val="sl-si"/>
        </w:rPr>
        <w:t xml:space="preserve">Izvajalec je s postopkom nameščanja, konfiguracije in testiranja dolžan pričeti v roku 3 mesecev od dneva prejema pisnega naročila za nove rešitve. </w:t>
      </w:r>
      <w:r>
        <w:rPr>
          <w:rFonts w:ascii="Verdana" w:hAnsi="Verdana"/>
          <w:sz w:val="20"/>
          <w:szCs w:val="20"/>
          <w:lang w:val="sl-si"/>
        </w:rPr>
      </w:r>
    </w:p>
    <w:p>
      <w:pPr>
        <w:pStyle w:val="para38"/>
        <w:numPr>
          <w:ilvl w:val="0"/>
          <w:numId w:val="20"/>
        </w:numPr>
        <w:ind w:left="720" w:hanging="360"/>
        <w:spacing w:after="120" w:line="240" w:lineRule="auto"/>
        <w:jc w:val="both"/>
        <w:widowControl w:val="0"/>
        <w:rPr>
          <w:rFonts w:ascii="Verdana" w:hAnsi="Verdana"/>
          <w:sz w:val="20"/>
          <w:szCs w:val="20"/>
          <w:lang w:val="sl-si"/>
        </w:rPr>
      </w:pPr>
      <w:r>
        <w:rPr>
          <w:rFonts w:ascii="Verdana" w:hAnsi="Verdana" w:eastAsia="Times New Roman" w:cs="Arial"/>
          <w:sz w:val="20"/>
          <w:szCs w:val="20"/>
          <w:lang w:val="sl-si" w:eastAsia="sl-si"/>
        </w:rPr>
        <w:t>Za nadgradnjo IS z novimi moduli oz. rešitvami se naročnik in izvajalec v času 1 meseca od dne naročnikovega naročila:</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eastAsia="Times New Roman" w:cs="Arial"/>
          <w:bCs/>
          <w:sz w:val="20"/>
          <w:szCs w:val="20"/>
          <w:lang w:val="sl-si"/>
        </w:rPr>
        <w:t>dogovorita, kdo sta odgovorni osebi za namestitev, konfiguracije, testiranje in primopredajo nove programske opreme; na strani izvajalca in na strani naročnika (če ni drugače dogovorjeno velja, da sta to odgovorni osebi po tej pogodbi),</w:t>
      </w:r>
      <w:r>
        <w:rPr>
          <w:rFonts w:ascii="Verdana" w:hAnsi="Verdana"/>
          <w:sz w:val="20"/>
          <w:szCs w:val="20"/>
          <w:lang w:val="sl-si"/>
        </w:rPr>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eastAsia="Times New Roman" w:cs="Arial"/>
          <w:bCs/>
          <w:sz w:val="20"/>
          <w:szCs w:val="20"/>
          <w:lang w:val="sl-si"/>
        </w:rPr>
        <w:t>določita terminski plan priprave naročnikovih potreb oziroma zahtev ter</w:t>
      </w:r>
      <w:r>
        <w:rPr>
          <w:rFonts w:ascii="Verdana" w:hAnsi="Verdana"/>
          <w:sz w:val="20"/>
          <w:szCs w:val="20"/>
          <w:lang w:val="sl-si"/>
        </w:rPr>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eastAsia="Times New Roman" w:cs="Arial"/>
          <w:bCs/>
          <w:sz w:val="20"/>
          <w:szCs w:val="20"/>
          <w:lang w:val="sl-si"/>
        </w:rPr>
        <w:t>plan izvajalčeve izvedbe namestitve, konfiguracije, testiranja in primopredaje nove programske opreme naročniku.</w:t>
      </w:r>
      <w:r>
        <w:rPr>
          <w:rFonts w:ascii="Verdana" w:hAnsi="Verdana"/>
          <w:sz w:val="20"/>
          <w:szCs w:val="20"/>
          <w:lang w:val="sl-si"/>
        </w:rPr>
      </w:r>
    </w:p>
    <w:p>
      <w:pPr>
        <w:pStyle w:val="para38"/>
        <w:numPr>
          <w:ilvl w:val="0"/>
          <w:numId w:val="20"/>
        </w:numPr>
        <w:ind w:left="720" w:hanging="360"/>
        <w:spacing w:after="0" w:line="240" w:lineRule="auto"/>
        <w:jc w:val="both"/>
        <w:widowControl w:val="0"/>
        <w:rPr>
          <w:rFonts w:ascii="Verdana" w:hAnsi="Verdana"/>
          <w:sz w:val="20"/>
          <w:szCs w:val="20"/>
          <w:lang w:val="sl-si"/>
        </w:rPr>
      </w:pPr>
      <w:r>
        <w:rPr>
          <w:rFonts w:ascii="Verdana" w:hAnsi="Verdana" w:eastAsia="Times New Roman" w:cs="Arial"/>
          <w:bCs/>
          <w:sz w:val="20"/>
          <w:szCs w:val="20"/>
          <w:lang w:val="sl-si"/>
        </w:rPr>
        <w:t>Izvajalec je pri namestitvi nove programske opreme dolžan upoštevati potrebe naročnika in programsko opremo prilagoditi poslovnim procesom uporabnikov. Naročnik je v zvezi s tem dolžan izvajalcu podajati potrebne informacije za ustrezno namestitev in konfiguracijo programske opreme.</w:t>
      </w:r>
      <w:r>
        <w:rPr>
          <w:rFonts w:ascii="Verdana" w:hAnsi="Verdana"/>
          <w:sz w:val="20"/>
          <w:szCs w:val="20"/>
          <w:lang w:val="sl-si"/>
        </w:rPr>
      </w:r>
    </w:p>
    <w:p>
      <w:pPr>
        <w:pStyle w:val="para38"/>
        <w:numPr>
          <w:ilvl w:val="0"/>
          <w:numId w:val="20"/>
        </w:numPr>
        <w:ind w:left="720" w:hanging="360"/>
        <w:spacing w:after="120" w:line="240" w:lineRule="auto"/>
        <w:jc w:val="both"/>
        <w:widowControl w:val="0"/>
        <w:rPr>
          <w:rFonts w:ascii="Verdana" w:hAnsi="Verdana"/>
          <w:sz w:val="20"/>
          <w:szCs w:val="20"/>
          <w:lang w:val="sl-si"/>
        </w:rPr>
      </w:pPr>
      <w:r>
        <w:rPr>
          <w:rFonts w:ascii="Verdana" w:hAnsi="Verdana" w:eastAsia="Times New Roman" w:cs="Arial"/>
          <w:bCs/>
          <w:sz w:val="20"/>
          <w:szCs w:val="20"/>
          <w:lang w:val="sl-si"/>
        </w:rPr>
        <w:t>Izvajalec je dolžan po namestitvi opraviti osnovno testiranje programske opreme ter odpraviti morebitne napake.</w:t>
      </w:r>
      <w:r>
        <w:rPr>
          <w:rFonts w:ascii="Verdana" w:hAnsi="Verdana"/>
          <w:sz w:val="20"/>
          <w:szCs w:val="20"/>
          <w:lang w:val="sl-si"/>
        </w:rPr>
      </w:r>
    </w:p>
    <w:p>
      <w:pPr>
        <w:spacing w:after="0" w:line="240" w:lineRule="auto"/>
        <w:jc w:val="both"/>
        <w:rPr>
          <w:rFonts w:ascii="Verdana" w:hAnsi="Verdana" w:eastAsia="Times New Roman" w:cs="Arial"/>
          <w:bCs/>
          <w:sz w:val="20"/>
          <w:szCs w:val="20"/>
          <w:lang w:val="sl-si"/>
        </w:rPr>
      </w:pPr>
      <w:r>
        <w:rPr>
          <w:rFonts w:ascii="Verdana" w:hAnsi="Verdana" w:eastAsia="Times New Roman" w:cs="Arial"/>
          <w:bCs/>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NAVODILA ZA UPORABO</w:t>
      </w:r>
    </w:p>
    <w:p>
      <w:pPr>
        <w:pStyle w:val="para38"/>
        <w:numPr>
          <w:ilvl w:val="0"/>
          <w:numId w:val="12"/>
        </w:numPr>
        <w:ind w:left="720" w:hanging="360"/>
        <w:spacing w:after="0" w:line="240" w:lineRule="auto"/>
        <w:jc w:val="both"/>
        <w:widowControl w:val="0"/>
        <w:rPr>
          <w:rFonts w:ascii="Verdana" w:hAnsi="Verdana"/>
          <w:sz w:val="20"/>
          <w:szCs w:val="20"/>
          <w:lang w:val="sl-si"/>
        </w:rPr>
      </w:pPr>
      <w:r>
        <w:rPr>
          <w:rFonts w:ascii="Verdana" w:hAnsi="Verdana" w:cs="Arial"/>
          <w:sz w:val="20"/>
          <w:szCs w:val="20"/>
          <w:lang w:val="sl-si"/>
        </w:rPr>
        <w:t xml:space="preserve">Izvajalec je dolžan naročniku pred testiranjem vsakega novega modula oz. rešitve predložiti navodila za uporabo nove programske opreme, ki morajo biti v slovenskem jeziku, tekom testiranja, če ni drugače dogovorjeno z naročnikom, pa izvesti usposabljanje za ključne uporabnike, ki jih določi naročnik. </w:t>
      </w:r>
      <w:r>
        <w:rPr>
          <w:rFonts w:ascii="Verdana" w:hAnsi="Verdana"/>
          <w:sz w:val="20"/>
          <w:szCs w:val="20"/>
          <w:lang w:val="sl-si"/>
        </w:rPr>
      </w:r>
    </w:p>
    <w:p>
      <w:pPr>
        <w:pStyle w:val="para38"/>
        <w:numPr>
          <w:ilvl w:val="0"/>
          <w:numId w:val="12"/>
        </w:numPr>
        <w:ind w:left="720" w:hanging="360"/>
        <w:spacing w:after="120" w:line="240" w:lineRule="auto"/>
        <w:jc w:val="both"/>
        <w:widowControl w:val="0"/>
        <w:rPr>
          <w:rFonts w:ascii="Verdana" w:hAnsi="Verdana"/>
          <w:sz w:val="20"/>
          <w:szCs w:val="20"/>
          <w:lang w:val="sl-si"/>
        </w:rPr>
      </w:pPr>
      <w:r>
        <w:rPr>
          <w:rFonts w:ascii="Verdana" w:hAnsi="Verdana" w:cs="Arial"/>
          <w:bCs/>
          <w:sz w:val="20"/>
          <w:szCs w:val="20"/>
          <w:lang w:val="sl-si"/>
        </w:rPr>
        <w:t>Izvajalec je zadolžen zagotoviti predavatelja, ki dobro pozna vsebino nove programske opreme. O terminu usposabljanja se pogodbeni stranki dogovorita. Usposabljanje se izvede na lokaciji naročnika.</w:t>
      </w:r>
      <w:r>
        <w:rPr>
          <w:rFonts w:ascii="Verdana" w:hAnsi="Verdana"/>
          <w:sz w:val="20"/>
          <w:szCs w:val="20"/>
          <w:lang w:val="sl-si"/>
        </w:rPr>
      </w:r>
    </w:p>
    <w:p>
      <w:pPr>
        <w:spacing w:after="0" w:line="240" w:lineRule="auto"/>
        <w:jc w:val="both"/>
        <w:rPr>
          <w:rFonts w:ascii="Verdana" w:hAnsi="Verdana" w:cs="Arial"/>
          <w:bCs/>
          <w:sz w:val="20"/>
          <w:szCs w:val="20"/>
          <w:lang w:val="sl-si"/>
        </w:rPr>
      </w:pPr>
      <w:r>
        <w:rPr>
          <w:rFonts w:ascii="Verdana" w:hAnsi="Verdana" w:cs="Arial"/>
          <w:bCs/>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AVTORSKE PRAVICE</w:t>
      </w:r>
    </w:p>
    <w:p>
      <w:pPr>
        <w:pStyle w:val="para38"/>
        <w:numPr>
          <w:ilvl w:val="0"/>
          <w:numId w:val="2"/>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Ideje, osnutki, know-how in tehnični postopki, ki se nanašajo na predmet te pogodbe in jih je razvil izvajalec ali izvajalec in naročnik v času trajanja te pogodbe, lahko uporabljata obe pogodbeni stranki po lastni presoji le za lastne potrebe.</w:t>
      </w:r>
    </w:p>
    <w:p>
      <w:pPr>
        <w:pStyle w:val="para38"/>
        <w:numPr>
          <w:ilvl w:val="0"/>
          <w:numId w:val="2"/>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Ves originalni material na kakršnemkoli mediju, izdelan v času izvajanja te pogodbe in namenjen in pripravljen za naročnika, pripada le naročniku in ga naročnik ne sme razmnoževati in prenašati na tretje osebe. Posebej ne sme naročnik oziroma njegovi posamezni delavci prodajati izdelkov in rešitev, do katerih ima izvajalec avtorsko pravico. Izvajalec ima v primeru odstopanja od teh določil pravico do odškodnine.</w:t>
      </w:r>
    </w:p>
    <w:p>
      <w:pPr>
        <w:pStyle w:val="para38"/>
        <w:numPr>
          <w:ilvl w:val="0"/>
          <w:numId w:val="2"/>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ima na voljo ideje, osnutke, know-how in tehnične postopke pri nadaljnjem delu in jih uporablja pod pogojem, da ne ogroža interesov naročnika v zvezi s podatki, ki predstavljajo poslovno tajnost. V primeru idej, osnutkov, know-howa in tehničnih postopkov, katere razvijeta izvajalec in naročnik, se o možnosti njihovega trenja oziroma nadaljnjega razpolaganja dogovorita stranki pogodbe naknadno, s posebnim aneksom. Naročnik in izvajalec imata v primeru odstopanja</w:t>
      </w:r>
      <w:r>
        <w:t xml:space="preserve"> </w:t>
      </w:r>
      <w:r>
        <w:rPr>
          <w:rFonts w:ascii="Verdana" w:hAnsi="Verdana"/>
          <w:sz w:val="20"/>
          <w:szCs w:val="20"/>
          <w:lang w:val="sl-si"/>
        </w:rPr>
        <w:t>od teh določil pravico do odškodnine.</w:t>
      </w:r>
      <w:r>
        <w:rPr>
          <w:rFonts w:ascii="Verdana" w:hAnsi="Verdana"/>
          <w:sz w:val="20"/>
          <w:szCs w:val="20"/>
          <w:lang w:val="sl-si"/>
        </w:rPr>
      </w:r>
    </w:p>
    <w:p>
      <w:pPr>
        <w:spacing w:after="0" w:line="240" w:lineRule="auto"/>
        <w:jc w:val="both"/>
        <w:rPr>
          <w:rFonts w:ascii="Verdana" w:hAnsi="Verdana" w:cs="Arial"/>
          <w:bCs/>
          <w:sz w:val="20"/>
          <w:szCs w:val="20"/>
          <w:lang w:val="sl-si"/>
        </w:rPr>
      </w:pPr>
      <w:r>
        <w:rPr>
          <w:rFonts w:ascii="Verdana" w:hAnsi="Verdana" w:cs="Arial"/>
          <w:bCs/>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VAROVANJE PODATKOV</w:t>
      </w:r>
    </w:p>
    <w:p>
      <w:pPr>
        <w:pStyle w:val="para38"/>
        <w:numPr>
          <w:ilvl w:val="0"/>
          <w:numId w:val="23"/>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pPr>
        <w:pStyle w:val="para38"/>
        <w:numPr>
          <w:ilvl w:val="0"/>
          <w:numId w:val="23"/>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Izvajalec se zavezuje, da bo v zaupnosti obdržal vse zaupne informacije povezane z naročnikom in njegovimi strankami. Ta obveza velja tudi za vse tržne skrivnosti, avtorske pravice, zaščitene znake in druge zakonsko zaščitene podatke, kakor tudi za zaupane pravice vezane na programsko opremo naročnika in njeno podporno dokumentacijo.</w:t>
      </w:r>
    </w:p>
    <w:p>
      <w:pPr>
        <w:pStyle w:val="para38"/>
        <w:numPr>
          <w:ilvl w:val="0"/>
          <w:numId w:val="23"/>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Stranki bosta vse medsebojne dogovore, podatke in dokumentacijo, ki so predmet te pogodbe in jih bosta označili za zaupne, varovali kot poslovno skrivnost in jih ne bosta uporabljali v svojo korist ali posredovali tretji osebi, izven organizacij, ki niso vključene v realizacijo nalog predmeta pogodbe.</w:t>
      </w:r>
    </w:p>
    <w:p>
      <w:pPr>
        <w:pStyle w:val="para38"/>
        <w:numPr>
          <w:ilvl w:val="0"/>
          <w:numId w:val="23"/>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Skladno z Splošno uredbo o varstvu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pPr>
        <w:pStyle w:val="para38"/>
        <w:numPr>
          <w:ilvl w:val="0"/>
          <w:numId w:val="23"/>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Izvajalec bo te svoje obveznosti razširil tudi na svoje morebitne pogodbene podizvajalce po predhodnem obvestilu in dogovoru z naročnikom, ki so ali bodo kakorkoli izvrševali celotna ali posamična dela v zvezi s to pogodbo.</w:t>
      </w:r>
    </w:p>
    <w:p>
      <w:pPr>
        <w:pStyle w:val="para38"/>
        <w:numPr>
          <w:ilvl w:val="0"/>
          <w:numId w:val="23"/>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 xml:space="preserve">Naročnik in izvajalec se dogovorita za protokol dostopa do sistema naročnika po katerem mora izvajalec pred dostopom pridobiti odobritev s strani naročnika (elektronsko ali pisno). </w:t>
      </w:r>
    </w:p>
    <w:p>
      <w:pPr>
        <w:pStyle w:val="para38"/>
        <w:numPr>
          <w:ilvl w:val="0"/>
          <w:numId w:val="23"/>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Izvajalec in naročnik se dogovorita za dosledno spoštovanje zakonsko opredeljenih principov in načel v zvezi z zavarovanjem in tajnostjo podatkov pri vnosu, pripravi, obdelavi in posredovanju podatkov.</w:t>
      </w:r>
    </w:p>
    <w:p>
      <w:pPr>
        <w:pStyle w:val="para38"/>
        <w:numPr>
          <w:ilvl w:val="0"/>
          <w:numId w:val="23"/>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se zaveže varovati prejete podatke v skladu s prejšnjo alinejo tudi po prenehanju pogodbenega razmerja.</w:t>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POGODBENA KAZEN</w:t>
      </w:r>
    </w:p>
    <w:p>
      <w:pPr>
        <w:pStyle w:val="para38"/>
        <w:numPr>
          <w:ilvl w:val="0"/>
          <w:numId w:val="4"/>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je v primeru zamude po tej pogodbi, naročniku dolžan plačati pogodbeno kazen:</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V primeru kritične napake – 200 EUR za vsako začeto uro zamud;</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V primeru resne napake – 100 EUR za vsako začeto uro zamude;</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V primeru manjše napake – 50 EUR za vsak dan zamude;</w:t>
      </w:r>
    </w:p>
    <w:p>
      <w:pPr>
        <w:pStyle w:val="para38"/>
        <w:numPr>
          <w:ilvl w:val="0"/>
          <w:numId w:val="1"/>
        </w:numPr>
        <w:ind w:left="1440" w:hanging="360"/>
        <w:spacing w:after="0" w:line="240" w:lineRule="auto"/>
        <w:jc w:val="both"/>
        <w:widowControl w:val="0"/>
        <w:rPr>
          <w:rFonts w:ascii="Verdana" w:hAnsi="Verdana"/>
          <w:sz w:val="20"/>
          <w:szCs w:val="20"/>
          <w:lang w:val="sl-si"/>
        </w:rPr>
      </w:pPr>
      <w:r>
        <w:rPr>
          <w:rFonts w:ascii="Verdana" w:hAnsi="Verdana"/>
          <w:sz w:val="20"/>
          <w:szCs w:val="20"/>
          <w:lang w:val="sl-si"/>
        </w:rPr>
        <w:t>V primeru zamude pri implementaciji regulatornih sprememb, ko sprememba že prične veljati – 200 EUR za vsak dan zamude;</w:t>
      </w:r>
    </w:p>
    <w:p>
      <w:pPr>
        <w:pStyle w:val="para38"/>
        <w:numPr>
          <w:ilvl w:val="0"/>
          <w:numId w:val="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V primeru zamude pri implementaciji regulatornih sprememb, ko izvajalec zamuja z rokom izvedbe, sprememba pa še ne prične veljati – 100 EUR za vsak dan zamude.</w:t>
      </w:r>
    </w:p>
    <w:p>
      <w:pPr>
        <w:pStyle w:val="para38"/>
        <w:numPr>
          <w:ilvl w:val="0"/>
          <w:numId w:val="4"/>
        </w:numPr>
        <w:ind w:left="720" w:hanging="360"/>
        <w:spacing w:after="0" w:line="240" w:lineRule="auto"/>
        <w:jc w:val="both"/>
        <w:widowControl w:val="0"/>
        <w:rPr>
          <w:rFonts w:ascii="Verdana" w:hAnsi="Verdana"/>
          <w:sz w:val="20"/>
          <w:szCs w:val="20"/>
          <w:lang w:val="sl-si"/>
        </w:rPr>
      </w:pPr>
      <w:r>
        <w:rPr>
          <w:rFonts w:ascii="Verdana" w:hAnsi="Verdana"/>
          <w:sz w:val="20"/>
          <w:szCs w:val="20"/>
          <w:lang w:val="sl-si"/>
        </w:rPr>
        <w:t>V primeru, da izvajalec naročniku ne namesti nove verzije programske opreme v roku treh (3) mesecev od izdaje nove verzije programske opreme, je naročniku dolžan plačati pogodbeno kazen v višini, kolikor znaša vrednost (1) mesečnega vzdrževanja te programske opreme.</w:t>
      </w:r>
    </w:p>
    <w:p>
      <w:pPr>
        <w:pStyle w:val="para38"/>
        <w:numPr>
          <w:ilvl w:val="0"/>
          <w:numId w:val="4"/>
        </w:numPr>
        <w:ind w:left="720" w:hanging="360"/>
        <w:spacing w:after="0" w:line="240" w:lineRule="auto"/>
        <w:jc w:val="both"/>
        <w:widowControl w:val="0"/>
        <w:rPr>
          <w:rFonts w:ascii="Verdana" w:hAnsi="Verdana"/>
          <w:sz w:val="20"/>
          <w:szCs w:val="20"/>
          <w:lang w:val="sl-si"/>
        </w:rPr>
      </w:pPr>
      <w:r>
        <w:rPr>
          <w:rFonts w:ascii="Verdana" w:hAnsi="Verdana" w:eastAsia="Times New Roman" w:cs="Arial"/>
          <w:bCs/>
          <w:sz w:val="20"/>
          <w:szCs w:val="20"/>
          <w:lang w:val="sl-si"/>
        </w:rPr>
        <w:t>V primeru, da izvajalec naročniku ne zagotovi pravilnega delovanja programske opreme na aktualnih oziroma novih različicah operacijskega sistema, je naročniku dolžan plačati pogodbeno kazen v višini, kolikor znaša vrednost vzdrževanja tiste programske opreme, ki je naročnik na aktualni oziroma novi različici operacijskega sistema ne more uporabljati ali pa je uporaba otežena ali omejena.</w:t>
      </w:r>
      <w:r>
        <w:rPr>
          <w:rFonts w:ascii="Verdana" w:hAnsi="Verdana"/>
          <w:sz w:val="20"/>
          <w:szCs w:val="20"/>
          <w:lang w:val="sl-si"/>
        </w:rPr>
      </w:r>
    </w:p>
    <w:p>
      <w:pPr>
        <w:pStyle w:val="para38"/>
        <w:numPr>
          <w:ilvl w:val="0"/>
          <w:numId w:val="4"/>
        </w:numPr>
        <w:ind w:left="720" w:hanging="360"/>
        <w:spacing w:after="0" w:line="240" w:lineRule="auto"/>
        <w:jc w:val="both"/>
        <w:rPr>
          <w:rFonts w:ascii="Verdana" w:hAnsi="Verdana" w:eastAsia="Times New Roman" w:cs="Arial"/>
          <w:bCs/>
          <w:sz w:val="20"/>
          <w:szCs w:val="20"/>
          <w:lang w:val="sl-si"/>
        </w:rPr>
      </w:pPr>
      <w:r>
        <w:rPr>
          <w:rFonts w:ascii="Verdana" w:hAnsi="Verdana"/>
          <w:sz w:val="20"/>
          <w:szCs w:val="20"/>
          <w:lang w:val="sl-si"/>
        </w:rPr>
        <w:t>Naročnik ima pravico unovčiti tudi garancijo za dobro izvedbo pogodbenih obveznosti ter zahteva povračilo stroškov in vse škode, ki je nastala izvajalcu, kot je opredeljeno v 15. členu osnovne pogodbe.</w:t>
      </w:r>
      <w:r>
        <w:rPr>
          <w:rFonts w:ascii="Verdana" w:hAnsi="Verdana" w:eastAsia="Times New Roman" w:cs="Arial"/>
          <w:bCs/>
          <w:sz w:val="20"/>
          <w:szCs w:val="20"/>
          <w:lang w:val="sl-si"/>
        </w:rPr>
      </w:r>
    </w:p>
    <w:p>
      <w:pPr>
        <w:pStyle w:val="para38"/>
        <w:spacing w:after="0" w:line="240" w:lineRule="auto"/>
        <w:jc w:val="both"/>
        <w:rPr>
          <w:rFonts w:ascii="Verdana" w:hAnsi="Verdana" w:eastAsia="Times New Roman" w:cs="Arial"/>
          <w:bCs/>
          <w:sz w:val="20"/>
          <w:szCs w:val="20"/>
          <w:lang w:val="sl-si"/>
        </w:rPr>
      </w:pPr>
      <w:r>
        <w:rPr>
          <w:rFonts w:ascii="Verdana" w:hAnsi="Verdana" w:eastAsia="Times New Roman" w:cs="Arial"/>
          <w:bCs/>
          <w:sz w:val="20"/>
          <w:szCs w:val="20"/>
          <w:lang w:val="sl-si"/>
        </w:rPr>
      </w:r>
    </w:p>
    <w:p>
      <w:pPr>
        <w:pStyle w:val="para38"/>
        <w:numPr>
          <w:ilvl w:val="0"/>
          <w:numId w:val="17"/>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KONČNE DOLOČBE</w:t>
      </w:r>
    </w:p>
    <w:p>
      <w:pPr>
        <w:pStyle w:val="para38"/>
        <w:numPr>
          <w:ilvl w:val="0"/>
          <w:numId w:val="9"/>
        </w:numPr>
        <w:ind w:left="720" w:hanging="360"/>
        <w:spacing w:after="0" w:line="240" w:lineRule="auto"/>
        <w:jc w:val="both"/>
        <w:widowControl w:val="0"/>
        <w:rPr>
          <w:rFonts w:ascii="Verdana" w:hAnsi="Verdana"/>
          <w:sz w:val="20"/>
          <w:szCs w:val="20"/>
          <w:lang w:val="sl-si"/>
        </w:rPr>
      </w:pPr>
      <w:r>
        <w:rPr>
          <w:rFonts w:ascii="Verdana" w:hAnsi="Verdana" w:eastAsia="Times New Roman" w:cs="Arial"/>
          <w:sz w:val="20"/>
          <w:szCs w:val="20"/>
          <w:lang w:val="sl-si"/>
        </w:rPr>
        <w:t xml:space="preserve">Ta pogodba je sklenjena z dnem podpisa obeh pogodbenih strank in stopi v veljavo za obdobje 8 let, od dneva končnega prevzema in pričetkom uporabe IS ter izročitve inštrumentov zavarovanja. </w:t>
      </w:r>
      <w:r>
        <w:rPr>
          <w:rFonts w:ascii="Verdana" w:hAnsi="Verdana"/>
          <w:sz w:val="20"/>
          <w:szCs w:val="20"/>
          <w:lang w:val="sl-si"/>
        </w:rPr>
      </w:r>
    </w:p>
    <w:p>
      <w:pPr>
        <w:pStyle w:val="para38"/>
        <w:numPr>
          <w:ilvl w:val="0"/>
          <w:numId w:val="9"/>
        </w:numPr>
        <w:ind w:left="720" w:hanging="360"/>
        <w:spacing w:after="0" w:line="240" w:lineRule="auto"/>
        <w:jc w:val="both"/>
        <w:widowControl w:val="0"/>
        <w:rPr>
          <w:rFonts w:ascii="Verdana" w:hAnsi="Verdana"/>
          <w:sz w:val="20"/>
          <w:szCs w:val="20"/>
          <w:lang w:val="sl-si"/>
        </w:rPr>
      </w:pPr>
      <w:r>
        <w:rPr>
          <w:rFonts w:ascii="Verdana" w:hAnsi="Verdana" w:cs="Arial"/>
          <w:sz w:val="20"/>
          <w:szCs w:val="20"/>
          <w:lang w:val="sl-si"/>
        </w:rPr>
        <w:t>Morebitne medsebojne spore bosta pogodbeni stranki reševali sporazumno in v interesu trajnega sodelovanja.</w:t>
      </w:r>
      <w:r>
        <w:rPr>
          <w:rFonts w:ascii="Verdana" w:hAnsi="Verdana"/>
          <w:sz w:val="20"/>
          <w:szCs w:val="20"/>
          <w:lang w:val="sl-si"/>
        </w:rPr>
      </w:r>
    </w:p>
    <w:p>
      <w:pPr>
        <w:pStyle w:val="para38"/>
        <w:numPr>
          <w:ilvl w:val="0"/>
          <w:numId w:val="9"/>
        </w:numPr>
        <w:ind w:left="720" w:hanging="360"/>
        <w:spacing w:after="0" w:line="240" w:lineRule="auto"/>
        <w:jc w:val="both"/>
        <w:widowControl w:val="0"/>
        <w:rPr>
          <w:rFonts w:ascii="Verdana" w:hAnsi="Verdana"/>
          <w:sz w:val="20"/>
          <w:szCs w:val="20"/>
          <w:lang w:val="sl-si"/>
        </w:rPr>
      </w:pPr>
      <w:r>
        <w:rPr>
          <w:rFonts w:ascii="Verdana" w:hAnsi="Verdana" w:cs="Arial"/>
          <w:sz w:val="20"/>
          <w:szCs w:val="20"/>
          <w:lang w:val="sl-si"/>
        </w:rPr>
        <w:t>V kolikor podpisnici ne bi prišli do sporazumne rešitve, se bo morebitni spor reševal pri stvarno pristojnem sodišču na Ptuju.</w:t>
      </w:r>
      <w:r>
        <w:rPr>
          <w:rFonts w:ascii="Verdana" w:hAnsi="Verdana"/>
          <w:sz w:val="20"/>
          <w:szCs w:val="20"/>
          <w:lang w:val="sl-si"/>
        </w:rPr>
      </w:r>
    </w:p>
    <w:p>
      <w:pPr>
        <w:pStyle w:val="para38"/>
        <w:numPr>
          <w:ilvl w:val="0"/>
          <w:numId w:val="9"/>
        </w:numPr>
        <w:ind w:left="720" w:hanging="360"/>
        <w:spacing w:after="120" w:line="240" w:lineRule="auto"/>
        <w:jc w:val="both"/>
        <w:widowControl w:val="0"/>
        <w:rPr>
          <w:rFonts w:ascii="Verdana" w:hAnsi="Verdana"/>
          <w:sz w:val="20"/>
          <w:szCs w:val="20"/>
          <w:lang w:val="sl-si"/>
        </w:rPr>
      </w:pPr>
      <w:r>
        <w:rPr>
          <w:rFonts w:ascii="Verdana" w:hAnsi="Verdana" w:cs="Arial"/>
          <w:sz w:val="20"/>
          <w:szCs w:val="20"/>
          <w:lang w:val="sl-si"/>
        </w:rPr>
        <w:t>Pogodba je sestavljena v dveh izvodih, od katerih prejme vsaka pogodbena stranka po en izvod.</w:t>
      </w:r>
      <w:r>
        <w:rPr>
          <w:rFonts w:ascii="Verdana" w:hAnsi="Verdana"/>
          <w:sz w:val="20"/>
          <w:szCs w:val="20"/>
          <w:lang w:val="sl-si"/>
        </w:rPr>
      </w:r>
    </w:p>
    <w:tbl>
      <w:tblPr>
        <w:tblStyle w:val="TableNormal"/>
        <w:name w:val="Table7"/>
        <w:tabOrder w:val="0"/>
        <w:jc w:val="center"/>
        <w:tblInd w:w="0" w:type="dxa"/>
        <w:tblW w:w="9289" w:type="dxa"/>
        <w:tblLook w:val="04A0" w:firstRow="1" w:lastRow="0" w:firstColumn="1" w:lastColumn="0" w:noHBand="0" w:noVBand="1"/>
      </w:tblPr>
      <w:tblGrid>
        <w:gridCol w:w="4624"/>
        <w:gridCol w:w="180"/>
        <w:gridCol w:w="4485"/>
      </w:tblGrid>
      <w:tr>
        <w:trPr>
          <w:cantSplit w:val="0"/>
          <w:trHeight w:val="20" w:hRule="atLeast"/>
        </w:trPr>
        <w:tc>
          <w:tcPr>
            <w:tcW w:w="4624"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t>Naročnik</w:t>
            </w:r>
          </w:p>
        </w:tc>
        <w:tc>
          <w:tcPr>
            <w:tcW w:w="146" w:type="dxa"/>
            <w:vAlign w:val="center"/>
            <w:shd w:val="none"/>
            <w:tcMar>
              <w:top w:w="57" w:type="dxa"/>
              <w:left w:w="57" w:type="dxa"/>
              <w:bottom w:w="57" w:type="dxa"/>
              <w:right w:w="57" w:type="dxa"/>
            </w:tcMar>
            <w:tcBorders>
              <w:left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r>
          </w:p>
        </w:tc>
        <w:tc>
          <w:tcPr>
            <w:tcW w:w="4485"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b/>
                <w:sz w:val="20"/>
                <w:szCs w:val="20"/>
                <w:lang w:val="sl-si"/>
              </w:rPr>
            </w:pPr>
            <w:r>
              <w:rPr>
                <w:rFonts w:ascii="Verdana" w:hAnsi="Verdana"/>
                <w:b/>
                <w:sz w:val="20"/>
                <w:szCs w:val="20"/>
                <w:lang w:val="sl-si"/>
              </w:rPr>
              <w:t>Izvajalec</w:t>
            </w:r>
          </w:p>
        </w:tc>
      </w:tr>
      <w:tr>
        <w:trPr>
          <w:cantSplit w:val="0"/>
          <w:trHeight w:val="20" w:hRule="atLeast"/>
        </w:trPr>
        <w:tc>
          <w:tcPr>
            <w:tcW w:w="4624"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t>Splošna bolnišnica dr. Jožeta Potrča Ptuj</w:t>
            </w:r>
          </w:p>
          <w:p>
            <w:pPr>
              <w:spacing w:after="0" w:line="240" w:lineRule="auto"/>
              <w:widowControl w:val="0"/>
              <w:rPr>
                <w:rFonts w:ascii="Verdana" w:hAnsi="Verdana"/>
                <w:sz w:val="20"/>
                <w:szCs w:val="20"/>
                <w:lang w:val="sl-si"/>
              </w:rPr>
            </w:pPr>
            <w:r>
              <w:rPr>
                <w:rFonts w:ascii="Verdana" w:hAnsi="Verdana"/>
                <w:sz w:val="20"/>
                <w:szCs w:val="20"/>
                <w:lang w:val="sl-si"/>
              </w:rPr>
              <w:t>Potrčeva cesta 23</w:t>
            </w:r>
          </w:p>
          <w:p>
            <w:pPr>
              <w:spacing w:after="0" w:line="240" w:lineRule="auto"/>
              <w:widowControl w:val="0"/>
              <w:rPr>
                <w:rFonts w:ascii="Verdana" w:hAnsi="Verdana"/>
                <w:sz w:val="20"/>
                <w:szCs w:val="20"/>
                <w:lang w:val="sl-si"/>
              </w:rPr>
            </w:pPr>
            <w:r>
              <w:rPr>
                <w:rFonts w:ascii="Verdana" w:hAnsi="Verdana"/>
                <w:sz w:val="20"/>
                <w:szCs w:val="20"/>
                <w:lang w:val="sl-si"/>
              </w:rPr>
              <w:t>2250 Ptuj</w:t>
            </w:r>
          </w:p>
        </w:tc>
        <w:tc>
          <w:tcPr>
            <w:tcW w:w="146" w:type="dxa"/>
            <w:vAlign w:val="center"/>
            <w:shd w:val="none"/>
            <w:tcMar>
              <w:top w:w="57" w:type="dxa"/>
              <w:left w:w="57" w:type="dxa"/>
              <w:bottom w:w="57" w:type="dxa"/>
              <w:right w:w="57" w:type="dxa"/>
            </w:tcMar>
            <w:tcBorders>
              <w:left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4485"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cantSplit w:val="0"/>
          <w:trHeight w:val="20" w:hRule="atLeast"/>
        </w:trPr>
        <w:tc>
          <w:tcPr>
            <w:tcW w:w="4624" w:type="dxa"/>
            <w:vAlign w:val="bottom"/>
            <w:shd w:val="none"/>
            <w:tcMar>
              <w:top w:w="57" w:type="dxa"/>
              <w:left w:w="57" w:type="dxa"/>
              <w:bottom w:w="57" w:type="dxa"/>
              <w:right w:w="57" w:type="dxa"/>
            </w:tcMar>
            <w:tcBorders>
              <w:top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p>
            <w:pPr>
              <w:spacing w:after="0" w:line="240" w:lineRule="auto"/>
              <w:widowControl w:val="0"/>
              <w:rPr>
                <w:rFonts w:ascii="Verdana" w:hAnsi="Verdana"/>
                <w:sz w:val="20"/>
                <w:szCs w:val="20"/>
                <w:lang w:val="sl-si"/>
              </w:rPr>
            </w:pPr>
            <w:r>
              <w:rPr>
                <w:rFonts w:ascii="Verdana" w:hAnsi="Verdana"/>
                <w:sz w:val="20"/>
                <w:szCs w:val="20"/>
                <w:lang w:val="sl-si"/>
              </w:rPr>
              <w:t>Ptuj, dne</w:t>
            </w:r>
          </w:p>
          <w:p>
            <w:pPr>
              <w:spacing w:after="0" w:line="240" w:lineRule="auto"/>
              <w:widowControl w:val="0"/>
              <w:rPr>
                <w:rFonts w:ascii="Verdana" w:hAnsi="Verdana"/>
                <w:sz w:val="20"/>
                <w:szCs w:val="20"/>
                <w:lang w:val="sl-si"/>
              </w:rPr>
            </w:pPr>
            <w:r>
              <w:rPr>
                <w:rFonts w:ascii="Verdana" w:hAnsi="Verdana"/>
                <w:sz w:val="20"/>
                <w:szCs w:val="20"/>
                <w:lang w:val="sl-si"/>
              </w:rPr>
            </w:r>
          </w:p>
        </w:tc>
        <w:tc>
          <w:tcPr>
            <w:tcW w:w="146" w:type="dxa"/>
            <w:vAlign w:val="bottom"/>
            <w:shd w:val="none"/>
            <w:tcMar>
              <w:top w:w="57" w:type="dxa"/>
              <w:left w:w="57" w:type="dxa"/>
              <w:bottom w:w="57" w:type="dxa"/>
              <w:right w:w="57" w:type="dxa"/>
            </w:tcMar>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4485" w:type="dxa"/>
            <w:vAlign w:val="bottom"/>
            <w:shd w:val="none"/>
            <w:tcMar>
              <w:top w:w="57" w:type="dxa"/>
              <w:left w:w="57" w:type="dxa"/>
              <w:bottom w:w="57" w:type="dxa"/>
              <w:right w:w="57" w:type="dxa"/>
            </w:tcMar>
            <w:tcBorders>
              <w:top w:val="single" w:sz="4" w:space="0" w:color="000000" tmln="10, 20, 20, 0, 0"/>
            </w:tcBorders>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t xml:space="preserve">           , dne</w:t>
            </w:r>
          </w:p>
          <w:p>
            <w:pPr>
              <w:spacing w:after="0" w:line="240" w:lineRule="auto"/>
              <w:widowControl w:val="0"/>
              <w:rPr>
                <w:rFonts w:ascii="Verdana" w:hAnsi="Verdana"/>
                <w:sz w:val="20"/>
                <w:szCs w:val="20"/>
                <w:lang w:val="sl-si"/>
              </w:rPr>
            </w:pPr>
            <w:r>
              <w:rPr>
                <w:rFonts w:ascii="Verdana" w:hAnsi="Verdana"/>
                <w:sz w:val="20"/>
                <w:szCs w:val="20"/>
                <w:lang w:val="sl-si"/>
              </w:rPr>
            </w:r>
          </w:p>
        </w:tc>
      </w:tr>
      <w:tr>
        <w:trPr>
          <w:cantSplit w:val="0"/>
          <w:trHeight w:val="20" w:hRule="atLeast"/>
        </w:trPr>
        <w:tc>
          <w:tcPr>
            <w:tcW w:w="4624" w:type="dxa"/>
            <w:shd w:val="none"/>
            <w:tcMar>
              <w:top w:w="57" w:type="dxa"/>
              <w:left w:w="57" w:type="dxa"/>
              <w:bottom w:w="57" w:type="dxa"/>
              <w:right w:w="57" w:type="dxa"/>
            </w:tcMar>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p>
            <w:pPr>
              <w:spacing w:after="0" w:line="240" w:lineRule="auto"/>
              <w:widowControl w:val="0"/>
              <w:rPr>
                <w:rFonts w:ascii="Verdana" w:hAnsi="Verdana"/>
                <w:sz w:val="20"/>
                <w:szCs w:val="20"/>
                <w:lang w:val="sl-si"/>
              </w:rPr>
            </w:pPr>
            <w:r>
              <w:rPr>
                <w:rFonts w:ascii="Verdana" w:hAnsi="Verdana"/>
                <w:sz w:val="20"/>
                <w:szCs w:val="20"/>
                <w:lang w:val="sl-si"/>
              </w:rPr>
              <w:t xml:space="preserve">Podpisnik: </w:t>
            </w:r>
          </w:p>
          <w:p>
            <w:pPr>
              <w:spacing w:after="0" w:line="240" w:lineRule="auto"/>
              <w:widowControl w:val="0"/>
              <w:rPr>
                <w:rFonts w:ascii="Verdana" w:hAnsi="Verdana"/>
                <w:sz w:val="20"/>
                <w:szCs w:val="20"/>
                <w:lang w:val="sl-si"/>
              </w:rPr>
            </w:pPr>
            <w:r>
              <w:rPr>
                <w:rFonts w:ascii="Verdana" w:hAnsi="Verdana"/>
                <w:sz w:val="20"/>
                <w:szCs w:val="20"/>
                <w:lang w:val="sl-si"/>
              </w:rPr>
              <w:t>Anica Užmah, mag. posl. ved</w:t>
            </w:r>
          </w:p>
        </w:tc>
        <w:tc>
          <w:tcPr>
            <w:tcW w:w="146" w:type="dxa"/>
            <w:shd w:val="none"/>
            <w:tcMar>
              <w:top w:w="57" w:type="dxa"/>
              <w:left w:w="57" w:type="dxa"/>
              <w:bottom w:w="57" w:type="dxa"/>
              <w:right w:w="57" w:type="dxa"/>
            </w:tcMar>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4485" w:type="dxa"/>
            <w:shd w:val="none"/>
            <w:tcMar>
              <w:top w:w="57" w:type="dxa"/>
              <w:left w:w="57" w:type="dxa"/>
              <w:bottom w:w="57" w:type="dxa"/>
              <w:right w:w="57" w:type="dxa"/>
            </w:tcMar>
            <w:tmTcPr id="1642335811" protected="0"/>
          </w:tcPr>
          <w:p>
            <w:pPr>
              <w:spacing w:after="0" w:line="240" w:lineRule="auto"/>
              <w:widowControl w:val="0"/>
              <w:rPr>
                <w:rFonts w:ascii="Verdana" w:hAnsi="Verdana"/>
                <w:sz w:val="20"/>
                <w:szCs w:val="20"/>
                <w:lang w:val="sl-si"/>
              </w:rPr>
            </w:pPr>
            <w:r>
              <w:rPr>
                <w:rFonts w:ascii="Verdana" w:hAnsi="Verdana"/>
                <w:sz w:val="20"/>
                <w:szCs w:val="20"/>
                <w:lang w:val="sl-si"/>
              </w:rPr>
            </w:r>
          </w:p>
          <w:p>
            <w:pPr>
              <w:spacing w:after="0" w:line="240" w:lineRule="auto"/>
              <w:widowControl w:val="0"/>
              <w:rPr>
                <w:rFonts w:ascii="Verdana" w:hAnsi="Verdana"/>
                <w:sz w:val="20"/>
                <w:szCs w:val="20"/>
                <w:lang w:val="sl-si"/>
              </w:rPr>
            </w:pPr>
            <w:r>
              <w:rPr>
                <w:rFonts w:ascii="Verdana" w:hAnsi="Verdana"/>
                <w:sz w:val="20"/>
                <w:szCs w:val="20"/>
                <w:lang w:val="sl-si"/>
              </w:rPr>
              <w:t>Podpisnik:</w:t>
            </w:r>
          </w:p>
          <w:p>
            <w:pPr>
              <w:spacing w:after="0" w:line="240" w:lineRule="auto"/>
              <w:widowControl w:val="0"/>
              <w:rPr>
                <w:rFonts w:ascii="Verdana" w:hAnsi="Verdana"/>
                <w:sz w:val="20"/>
                <w:szCs w:val="20"/>
                <w:lang w:val="sl-si"/>
              </w:rPr>
            </w:pPr>
            <w:r>
              <w:rPr>
                <w:rFonts w:ascii="Verdana" w:hAnsi="Verdana"/>
                <w:sz w:val="20"/>
                <w:szCs w:val="20"/>
                <w:lang w:val="sl-si"/>
              </w:rPr>
            </w:r>
          </w:p>
        </w:tc>
      </w:tr>
    </w:tbl>
    <w:p>
      <w:pPr>
        <w:rPr>
          <w:rFonts w:ascii="Verdana" w:hAnsi="Verdana"/>
          <w:sz w:val="20"/>
          <w:szCs w:val="20"/>
          <w:lang w:val="sl-si"/>
        </w:rPr>
      </w:pPr>
      <w:r>
        <w:rPr>
          <w:rFonts w:ascii="Verdana" w:hAnsi="Verdana"/>
          <w:sz w:val="20"/>
          <w:szCs w:val="20"/>
          <w:lang w:val="sl-si"/>
        </w:rPr>
      </w:r>
    </w:p>
    <w:sectPr>
      <w:footnotePr>
        <w:pos w:val="pageBottom"/>
        <w:numFmt w:val="decimal"/>
        <w:numStart w:val="1"/>
        <w:numRestart w:val="continuous"/>
      </w:footnotePr>
      <w:endnotePr>
        <w:pos w:val="docEnd"/>
        <w:numFmt w:val="lowerRoman"/>
        <w:numStart w:val="1"/>
        <w:numRestart w:val="continuous"/>
      </w:endnotePr>
      <w:headerReference w:type="default" r:id="rId8"/>
      <w:type w:val="nextPage"/>
      <w:pgSz w:h="16838" w:w="11906"/>
      <w:pgMar w:left="1417" w:top="1417" w:right="1417" w:bottom="1417" w:header="708" w:footer="0"/>
      <w:paperSrc w:first="0" w:other="0" a="0" b="0"/>
      <w:pgNumType w:fmt="decimal"/>
      <w:tmGutter w:val="3"/>
      <w:mirrorMargins w:val="0"/>
      <w:tmSection w:h="-2">
        <w:tmHeader w:id="0" w:h="0" edge="708" text="0">
          <w:shd w:val="none"/>
        </w:tmHead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sic Roman">
    <w:charset w:val="00"/>
    <w:family w:val="roman"/>
    <w:pitch w:val="default"/>
  </w:font>
  <w:font w:name="Basic Sans">
    <w:charset w:val="00"/>
    <w:family w:val="roman"/>
    <w:pitch w:val="default"/>
  </w:font>
  <w:font w:name="Symbol">
    <w:charset w:val="02"/>
    <w:family w:val="roman"/>
    <w:pitch w:val="default"/>
  </w:font>
  <w:font w:name="Times New Roman">
    <w:charset w:val="ee"/>
    <w:family w:val="roman"/>
    <w:pitch w:val="default"/>
  </w:font>
  <w:font w:name="Courier New">
    <w:charset w:val="ee"/>
    <w:family w:val="modern"/>
    <w:pitch w:val="default"/>
  </w:font>
  <w:font w:name="Wingdings">
    <w:charset w:val="02"/>
    <w:family w:val="auto"/>
    <w:pitch w:val="default"/>
  </w:font>
  <w:font w:name="Verdana">
    <w:charset w:val="ee"/>
    <w:family w:val="swiss"/>
    <w:pitch w:val="default"/>
  </w:font>
  <w:font w:name="Calibri">
    <w:charset w:val="ee"/>
    <w:family w:val="swiss"/>
    <w:pitch w:val="default"/>
  </w:font>
  <w:font w:name="Arial">
    <w:charset w:val="ee"/>
    <w:family w:val="swiss"/>
    <w:pitch w:val="default"/>
  </w:font>
  <w:font w:name="Segoe UI">
    <w:charset w:val="ee"/>
    <w:family w:val="swiss"/>
    <w:pitch w:val="default"/>
  </w:font>
  <w:font w:name="Liberation Sans">
    <w:charset w:val="01"/>
    <w:family w:val="roman"/>
    <w:pitch w:val="default"/>
  </w:font>
  <w:font w:name="Noto Sans CJK SC">
    <w:charset w:val="00"/>
    <w:family w:val="roman"/>
    <w:pitch w:val="default"/>
  </w:font>
  <w:font w:name="FreeSans">
    <w:charset w:val="00"/>
    <w:family w:val="roman"/>
    <w:pitch w:val="default"/>
  </w:font>
  <w:font w:name="DejaVu Sans">
    <w:charset w:val="00"/>
    <w:family w:val="roman"/>
    <w:pitch w:val="default"/>
  </w:font>
  <w:font w:name="Liberation Serif">
    <w:charset w:val="01"/>
    <w:family w:val="roman"/>
    <w:pitch w:val="default"/>
  </w:font>
  <w:font w:name="Calibri Light">
    <w:charset w:val="ee"/>
    <w:family w:val="swiss"/>
    <w:pitch w:val="default"/>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tbl>
    <w:tblPr>
      <w:tblStyle w:val="TableNormal"/>
      <w:name w:val="Table1"/>
      <w:tabOrder w:val="0"/>
      <w:jc w:val="left"/>
      <w:tblInd w:w="0" w:type="dxa"/>
      <w:tblW w:w="9072" w:type="dxa"/>
      <w:tblLook w:val="04A0" w:firstRow="1" w:lastRow="0" w:firstColumn="1" w:lastColumn="0" w:noHBand="0" w:noVBand="1"/>
    </w:tblPr>
    <w:tblGrid>
      <w:gridCol w:w="4477"/>
      <w:gridCol w:w="4595"/>
    </w:tblGrid>
    <w:tr>
      <w:trPr>
        <w:cantSplit w:val="0"/>
        <w:trHeight w:val="0" w:hRule="auto"/>
      </w:trPr>
      <w:tc>
        <w:tcPr>
          <w:tcW w:w="4477" w:type="dxa"/>
          <w:shd w:val="none"/>
          <w:tcBorders>
            <w:bottom w:val="single" w:sz="4" w:space="0" w:color="000000" tmln="10, 20, 20, 0, 0"/>
          </w:tcBorders>
          <w:tmTcPr id="1642335811" protected="0"/>
        </w:tcPr>
        <w:p>
          <w:pPr>
            <w:pStyle w:val="para36"/>
            <w:widowControl w:val="0"/>
            <w:rPr>
              <w:rFonts w:ascii="Verdana" w:hAnsi="Verdana"/>
              <w:sz w:val="16"/>
              <w:szCs w:val="16"/>
              <w:lang w:val="sl-si"/>
            </w:rPr>
          </w:pPr>
          <w:r>
            <w:rPr>
              <w:rFonts w:ascii="Verdana" w:hAnsi="Verdana"/>
              <w:sz w:val="16"/>
              <w:szCs w:val="16"/>
              <w:lang w:val="sl-si"/>
            </w:rPr>
            <w:t>ePRO</w:t>
          </w:r>
        </w:p>
      </w:tc>
      <w:tc>
        <w:tcPr>
          <w:tcW w:w="4595" w:type="dxa"/>
          <w:shd w:val="none"/>
          <w:tcBorders>
            <w:bottom w:val="single" w:sz="4" w:space="0" w:color="000000" tmln="10, 20, 20, 0, 0"/>
          </w:tcBorders>
          <w:tmTcPr id="1642335811" protected="0"/>
        </w:tcPr>
        <w:p>
          <w:pPr>
            <w:pStyle w:val="para36"/>
            <w:spacing/>
            <w:jc w:val="right"/>
            <w:widowControl w:val="0"/>
            <w:rPr>
              <w:rFonts w:ascii="Verdana" w:hAnsi="Verdana"/>
              <w:sz w:val="16"/>
              <w:szCs w:val="16"/>
              <w:lang w:val="sl-si"/>
            </w:rPr>
          </w:pPr>
          <w:r>
            <w:rPr>
              <w:rFonts w:ascii="Verdana" w:hAnsi="Verdana"/>
              <w:sz w:val="16"/>
              <w:szCs w:val="16"/>
              <w:lang w:val="sl-si"/>
            </w:rPr>
            <w:t>Pogodba-SLA – končna</w:t>
          </w:r>
        </w:p>
      </w:tc>
    </w:tr>
  </w:tbl>
  <w:p>
    <w:pPr>
      <w:pStyle w:val="para36"/>
    </w:p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bered list 1"/>
    <w:lvl w:ilvl="0">
      <w:numFmt w:val="bullet"/>
      <w:suff w:val="tab"/>
      <w:lvlText w:val="·"/>
      <w:lvlJc w:val="left"/>
      <w:pPr>
        <w:ind w:left="1080" w:hanging="0"/>
      </w:pPr>
      <w:rPr>
        <w:rFonts w:ascii="Symbol" w:hAnsi="Symbol" w:cs="Symbol"/>
      </w:rPr>
    </w:lvl>
    <w:lvl w:ilvl="1">
      <w:numFmt w:val="bullet"/>
      <w:suff w:val="tab"/>
      <w:lvlText w:val="o"/>
      <w:lvlJc w:val="left"/>
      <w:pPr>
        <w:ind w:left="1800" w:hanging="0"/>
      </w:pPr>
      <w:rPr>
        <w:rFonts w:ascii="Courier New" w:hAnsi="Courier New" w:cs="Courier New"/>
      </w:rPr>
    </w:lvl>
    <w:lvl w:ilvl="2">
      <w:numFmt w:val="bullet"/>
      <w:suff w:val="tab"/>
      <w:lvlText w:val=""/>
      <w:lvlJc w:val="left"/>
      <w:pPr>
        <w:ind w:left="2520" w:hanging="0"/>
      </w:pPr>
      <w:rPr>
        <w:rFonts w:ascii="Wingdings" w:hAnsi="Wingdings" w:eastAsia="Wingdings" w:cs="Wingdings"/>
      </w:rPr>
    </w:lvl>
    <w:lvl w:ilvl="3">
      <w:numFmt w:val="bullet"/>
      <w:suff w:val="tab"/>
      <w:lvlText w:val="·"/>
      <w:lvlJc w:val="left"/>
      <w:pPr>
        <w:ind w:left="3240" w:hanging="0"/>
      </w:pPr>
      <w:rPr>
        <w:rFonts w:ascii="Symbol" w:hAnsi="Symbol" w:cs="Symbol"/>
      </w:rPr>
    </w:lvl>
    <w:lvl w:ilvl="4">
      <w:numFmt w:val="bullet"/>
      <w:suff w:val="tab"/>
      <w:lvlText w:val="o"/>
      <w:lvlJc w:val="left"/>
      <w:pPr>
        <w:ind w:left="3960" w:hanging="0"/>
      </w:pPr>
      <w:rPr>
        <w:rFonts w:ascii="Courier New" w:hAnsi="Courier New" w:cs="Courier New"/>
      </w:rPr>
    </w:lvl>
    <w:lvl w:ilvl="5">
      <w:numFmt w:val="bullet"/>
      <w:suff w:val="tab"/>
      <w:lvlText w:val=""/>
      <w:lvlJc w:val="left"/>
      <w:pPr>
        <w:ind w:left="4680" w:hanging="0"/>
      </w:pPr>
      <w:rPr>
        <w:rFonts w:ascii="Wingdings" w:hAnsi="Wingdings" w:eastAsia="Wingdings" w:cs="Wingdings"/>
      </w:rPr>
    </w:lvl>
    <w:lvl w:ilvl="6">
      <w:numFmt w:val="bullet"/>
      <w:suff w:val="tab"/>
      <w:lvlText w:val="·"/>
      <w:lvlJc w:val="left"/>
      <w:pPr>
        <w:ind w:left="5400" w:hanging="0"/>
      </w:pPr>
      <w:rPr>
        <w:rFonts w:ascii="Symbol" w:hAnsi="Symbol" w:cs="Symbol"/>
      </w:rPr>
    </w:lvl>
    <w:lvl w:ilvl="7">
      <w:numFmt w:val="bullet"/>
      <w:suff w:val="tab"/>
      <w:lvlText w:val="o"/>
      <w:lvlJc w:val="left"/>
      <w:pPr>
        <w:ind w:left="6120" w:hanging="0"/>
      </w:pPr>
      <w:rPr>
        <w:rFonts w:ascii="Courier New" w:hAnsi="Courier New" w:cs="Courier New"/>
      </w:rPr>
    </w:lvl>
    <w:lvl w:ilvl="8">
      <w:numFmt w:val="bullet"/>
      <w:suff w:val="tab"/>
      <w:lvlText w:val=""/>
      <w:lvlJc w:val="left"/>
      <w:pPr>
        <w:ind w:left="6840" w:hanging="0"/>
      </w:pPr>
      <w:rPr>
        <w:rFonts w:ascii="Wingdings" w:hAnsi="Wingdings" w:eastAsia="Wingdings" w:cs="Wingdings"/>
      </w:rPr>
    </w:lvl>
  </w:abstractNum>
  <w:abstractNum w:abstractNumId="2">
    <w:multiLevelType w:val="hybridMultilevel"/>
    <w:name w:val="Numbered list 2"/>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
    <w:multiLevelType w:val="hybridMultilevel"/>
    <w:name w:val="Numbered list 3"/>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4">
    <w:multiLevelType w:val="hybridMultilevel"/>
    <w:name w:val="Numbered list 4"/>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5">
    <w:multiLevelType w:val="hybridMultilevel"/>
    <w:name w:val="Numbered list 5"/>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6">
    <w:multiLevelType w:val="hybridMultilevel"/>
    <w:name w:val="Numbered list 6"/>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7">
    <w:multiLevelType w:val="hybridMultilevel"/>
    <w:name w:val="Numbered list 7"/>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8">
    <w:multiLevelType w:val="hybridMultilevel"/>
    <w:name w:val="Numbered list 8"/>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9">
    <w:multiLevelType w:val="hybridMultilevel"/>
    <w:name w:val="Numbered list 9"/>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0">
    <w:multiLevelType w:val="hybridMultilevel"/>
    <w:name w:val="Numbered list 10"/>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1">
    <w:multiLevelType w:val="hybridMultilevel"/>
    <w:name w:val="Numbered list 11"/>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2">
    <w:multiLevelType w:val="hybridMultilevel"/>
    <w:name w:val="Numbered list 12"/>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3">
    <w:multiLevelType w:val="hybridMultilevel"/>
    <w:name w:val="Numbered list 13"/>
    <w:lvl w:ilvl="0">
      <w:numFmt w:val="bullet"/>
      <w:suff w:val="tab"/>
      <w:lvlText w:val="-"/>
      <w:lvlJc w:val="left"/>
      <w:pPr>
        <w:ind w:left="1080" w:hanging="0"/>
      </w:pPr>
      <w:rPr>
        <w:rFonts w:ascii="Verdana" w:hAnsi="Verdana" w:cs="Verdana"/>
      </w:rPr>
    </w:lvl>
    <w:lvl w:ilvl="1">
      <w:numFmt w:val="bullet"/>
      <w:suff w:val="tab"/>
      <w:lvlText w:val="o"/>
      <w:lvlJc w:val="left"/>
      <w:pPr>
        <w:ind w:left="1800" w:hanging="0"/>
      </w:pPr>
      <w:rPr>
        <w:rFonts w:ascii="Courier New" w:hAnsi="Courier New" w:cs="Courier New"/>
      </w:rPr>
    </w:lvl>
    <w:lvl w:ilvl="2">
      <w:numFmt w:val="bullet"/>
      <w:suff w:val="tab"/>
      <w:lvlText w:val=""/>
      <w:lvlJc w:val="left"/>
      <w:pPr>
        <w:ind w:left="2520" w:hanging="0"/>
      </w:pPr>
      <w:rPr>
        <w:rFonts w:ascii="Wingdings" w:hAnsi="Wingdings" w:eastAsia="Wingdings" w:cs="Wingdings"/>
      </w:rPr>
    </w:lvl>
    <w:lvl w:ilvl="3">
      <w:numFmt w:val="bullet"/>
      <w:suff w:val="tab"/>
      <w:lvlText w:val="·"/>
      <w:lvlJc w:val="left"/>
      <w:pPr>
        <w:ind w:left="3240" w:hanging="0"/>
      </w:pPr>
      <w:rPr>
        <w:rFonts w:ascii="Symbol" w:hAnsi="Symbol" w:cs="Symbol"/>
      </w:rPr>
    </w:lvl>
    <w:lvl w:ilvl="4">
      <w:numFmt w:val="bullet"/>
      <w:suff w:val="tab"/>
      <w:lvlText w:val="o"/>
      <w:lvlJc w:val="left"/>
      <w:pPr>
        <w:ind w:left="3960" w:hanging="0"/>
      </w:pPr>
      <w:rPr>
        <w:rFonts w:ascii="Courier New" w:hAnsi="Courier New" w:cs="Courier New"/>
      </w:rPr>
    </w:lvl>
    <w:lvl w:ilvl="5">
      <w:numFmt w:val="bullet"/>
      <w:suff w:val="tab"/>
      <w:lvlText w:val=""/>
      <w:lvlJc w:val="left"/>
      <w:pPr>
        <w:ind w:left="4680" w:hanging="0"/>
      </w:pPr>
      <w:rPr>
        <w:rFonts w:ascii="Wingdings" w:hAnsi="Wingdings" w:eastAsia="Wingdings" w:cs="Wingdings"/>
      </w:rPr>
    </w:lvl>
    <w:lvl w:ilvl="6">
      <w:numFmt w:val="bullet"/>
      <w:suff w:val="tab"/>
      <w:lvlText w:val="·"/>
      <w:lvlJc w:val="left"/>
      <w:pPr>
        <w:ind w:left="5400" w:hanging="0"/>
      </w:pPr>
      <w:rPr>
        <w:rFonts w:ascii="Symbol" w:hAnsi="Symbol" w:cs="Symbol"/>
      </w:rPr>
    </w:lvl>
    <w:lvl w:ilvl="7">
      <w:numFmt w:val="bullet"/>
      <w:suff w:val="tab"/>
      <w:lvlText w:val="o"/>
      <w:lvlJc w:val="left"/>
      <w:pPr>
        <w:ind w:left="6120" w:hanging="0"/>
      </w:pPr>
      <w:rPr>
        <w:rFonts w:ascii="Courier New" w:hAnsi="Courier New" w:cs="Courier New"/>
      </w:rPr>
    </w:lvl>
    <w:lvl w:ilvl="8">
      <w:numFmt w:val="bullet"/>
      <w:suff w:val="tab"/>
      <w:lvlText w:val=""/>
      <w:lvlJc w:val="left"/>
      <w:pPr>
        <w:ind w:left="6840" w:hanging="0"/>
      </w:pPr>
      <w:rPr>
        <w:rFonts w:ascii="Wingdings" w:hAnsi="Wingdings" w:eastAsia="Wingdings" w:cs="Wingdings"/>
      </w:rPr>
    </w:lvl>
  </w:abstractNum>
  <w:abstractNum w:abstractNumId="14">
    <w:multiLevelType w:val="hybridMultilevel"/>
    <w:name w:val="Numbered list 14"/>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5">
    <w:multiLevelType w:val="hybridMultilevel"/>
    <w:name w:val="Numbered list 15"/>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6">
    <w:multiLevelType w:val="hybridMultilevel"/>
    <w:name w:val="Numbered list 16"/>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7">
    <w:multiLevelType w:val="hybridMultilevel"/>
    <w:name w:val="Numbered list 17"/>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8">
    <w:multiLevelType w:val="hybridMultilevel"/>
    <w:name w:val="Numbered list 18"/>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9">
    <w:multiLevelType w:val="hybridMultilevel"/>
    <w:name w:val="Numbered list 19"/>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0">
    <w:multiLevelType w:val="hybridMultilevel"/>
    <w:name w:val="Numbered list 20"/>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1">
    <w:multiLevelType w:val="hybridMultilevel"/>
    <w:name w:val="Numbered list 21"/>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2">
    <w:multiLevelType w:val="hybridMultilevel"/>
    <w:name w:val="Numbered list 22"/>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3">
    <w:multiLevelType w:val="hybridMultilevel"/>
    <w:name w:val="Numbered list 23"/>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1"/>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lowerRoman"/>
    <w:numStart w:val="1"/>
    <w:numRestart w:val="continuous"/>
  </w:endnotePr>
  <w:compat>
    <w:compatSetting w:name="compatibilityMode" w:uri="http://schemas.microsoft.com/office/word" w:val="15"/>
  </w:compat>
  <w:shapeDefaults>
    <o:shapedefaults v:ext="edit" spidmax="2049"/>
    <o:shapelayout v:ext="edit">
      <o:rules v:ext="edit"/>
    </o:shapelayout>
  </w:shapeDefaults>
  <w:tmPrefOne w:val="17"/>
  <w:tmPrefTwo w:val="1"/>
  <w:tmFmtPref w:val="55057515"/>
  <w:tmCommentsPr>
    <w:tmCommentsPlace w:val="0"/>
    <w:tmCommentsWidth w:val="3119"/>
    <w:tmCommentsColor w:val="-1"/>
  </w:tmCommentsPr>
  <w:tmReviewPr>
    <w:tmReviewEnabled w:val="0"/>
    <w:tmReviewShow w:val="1"/>
    <w:tmReviewPrint w:val="0"/>
    <w:tmRevisionNum w:val="70"/>
    <w:tmReviewMarkIns w:val="4"/>
    <w:tmReviewColorIns w:val="-1"/>
    <w:tmReviewMarkDel w:val="6"/>
    <w:tmReviewColorDel w:val="-1"/>
    <w:tmReviewMarkFmt w:val="1"/>
    <w:tmReviewColorFmt w:val="-1"/>
    <w:tmReviewMarkLn w:val="1"/>
    <w:tmReviewColorLn w:val="0"/>
    <w:tmReviewToolTip w:val="1"/>
  </w:tmReviewPr>
  <w:tmLastPos>
    <w:tmLastPosPage w:val="2"/>
    <w:tmLastPosSelect w:val="0"/>
    <w:tmLastPosFrameIdx w:val="0"/>
    <w:tmLastPosCaret>
      <w:tmLastPosPgfIdx w:val="73"/>
      <w:tmLastPosIdx w:val="80"/>
    </w:tmLastPosCaret>
    <w:tmLastPosAnchor>
      <w:tmLastPosPgfIdx w:val="0"/>
      <w:tmLastPosIdx w:val="0"/>
    </w:tmLastPosAnchor>
    <w:tmLastPosTblRect w:left="0" w:top="0" w:right="0" w:bottom="0"/>
  </w:tmLastPos>
  <w:tmAppRevision w:date="1642335811" w:val="1036" w:fileVer="342" w:fileVer64="64" w:fileVerOS="3"/>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Arial"/>
        <w:sz w:val="22"/>
        <w:szCs w:val="22"/>
        <w:lang w:val="sl-si" w:eastAsia="en-us" w:bidi="ar-sa"/>
      </w:rPr>
    </w:rPrDefault>
    <w:pPrDefault>
      <w:pPr>
        <w:spacing w:after="200" w:line="276" w:lineRule="auto"/>
        <w:suppressAutoHyphens/>
        <w:hyphenationLines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cs="Times New Roman"/>
      <w:lang w:val="en-us"/>
    </w:rPr>
  </w:style>
  <w:style w:type="paragraph" w:styleId="para1">
    <w:name w:val="heading 1"/>
    <w:qFormat/>
    <w:basedOn w:val="para0"/>
    <w:pPr>
      <w:spacing w:before="480"/>
      <w:keepNext/>
      <w:outlineLvl w:val="0"/>
      <w:keepLines/>
    </w:pPr>
    <w:rPr>
      <w:rFonts w:ascii="Arial" w:hAnsi="Arial" w:eastAsia="Arial" w:cs="Arial"/>
      <w:sz w:val="40"/>
      <w:szCs w:val="40"/>
    </w:rPr>
  </w:style>
  <w:style w:type="paragraph" w:styleId="para2">
    <w:name w:val="heading 2"/>
    <w:qFormat/>
    <w:basedOn w:val="para0"/>
    <w:pPr>
      <w:spacing w:before="360"/>
      <w:keepNext/>
      <w:outlineLvl w:val="1"/>
      <w:keepLines/>
    </w:pPr>
    <w:rPr>
      <w:rFonts w:ascii="Arial" w:hAnsi="Arial" w:eastAsia="Arial" w:cs="Arial"/>
      <w:sz w:val="34"/>
    </w:rPr>
  </w:style>
  <w:style w:type="paragraph" w:styleId="para3">
    <w:name w:val="heading 3"/>
    <w:qFormat/>
    <w:basedOn w:val="para0"/>
    <w:pPr>
      <w:spacing w:before="320"/>
      <w:keepNext/>
      <w:outlineLvl w:val="2"/>
      <w:keepLines/>
    </w:pPr>
    <w:rPr>
      <w:rFonts w:ascii="Arial" w:hAnsi="Arial" w:eastAsia="Arial" w:cs="Arial"/>
      <w:sz w:val="30"/>
      <w:szCs w:val="30"/>
    </w:rPr>
  </w:style>
  <w:style w:type="paragraph" w:styleId="para4">
    <w:name w:val="heading 4"/>
    <w:qFormat/>
    <w:basedOn w:val="para0"/>
    <w:pPr>
      <w:spacing w:before="320"/>
      <w:keepNext/>
      <w:outlineLvl w:val="3"/>
      <w:keepLines/>
    </w:pPr>
    <w:rPr>
      <w:rFonts w:ascii="Arial" w:hAnsi="Arial" w:eastAsia="Arial" w:cs="Arial"/>
      <w:b/>
      <w:bCs/>
      <w:sz w:val="26"/>
      <w:szCs w:val="26"/>
    </w:rPr>
  </w:style>
  <w:style w:type="paragraph" w:styleId="para5">
    <w:name w:val="heading 5"/>
    <w:qFormat/>
    <w:basedOn w:val="para0"/>
    <w:pPr>
      <w:spacing w:before="320"/>
      <w:keepNext/>
      <w:outlineLvl w:val="4"/>
      <w:keepLines/>
    </w:pPr>
    <w:rPr>
      <w:rFonts w:ascii="Arial" w:hAnsi="Arial" w:eastAsia="Arial" w:cs="Arial"/>
      <w:b/>
      <w:bCs/>
      <w:sz w:val="24"/>
      <w:szCs w:val="24"/>
    </w:rPr>
  </w:style>
  <w:style w:type="paragraph" w:styleId="para6">
    <w:name w:val="heading 6"/>
    <w:qFormat/>
    <w:basedOn w:val="para0"/>
    <w:pPr>
      <w:spacing w:before="320"/>
      <w:keepNext/>
      <w:outlineLvl w:val="5"/>
      <w:keepLines/>
    </w:pPr>
    <w:rPr>
      <w:rFonts w:ascii="Arial" w:hAnsi="Arial" w:eastAsia="Arial" w:cs="Arial"/>
      <w:b/>
      <w:bCs/>
    </w:rPr>
  </w:style>
  <w:style w:type="paragraph" w:styleId="para7">
    <w:name w:val="heading 7"/>
    <w:qFormat/>
    <w:basedOn w:val="para0"/>
    <w:pPr>
      <w:spacing w:before="320"/>
      <w:keepNext/>
      <w:outlineLvl w:val="6"/>
      <w:keepLines/>
    </w:pPr>
    <w:rPr>
      <w:rFonts w:ascii="Arial" w:hAnsi="Arial" w:eastAsia="Arial" w:cs="Arial"/>
      <w:b/>
      <w:bCs/>
      <w:i/>
      <w:iCs/>
    </w:rPr>
  </w:style>
  <w:style w:type="paragraph" w:styleId="para8">
    <w:name w:val="heading 8"/>
    <w:qFormat/>
    <w:basedOn w:val="para0"/>
    <w:pPr>
      <w:spacing w:before="320"/>
      <w:keepNext/>
      <w:outlineLvl w:val="7"/>
      <w:keepLines/>
    </w:pPr>
    <w:rPr>
      <w:rFonts w:ascii="Arial" w:hAnsi="Arial" w:eastAsia="Arial" w:cs="Arial"/>
      <w:i/>
      <w:iCs/>
    </w:rPr>
  </w:style>
  <w:style w:type="paragraph" w:styleId="para9">
    <w:name w:val="heading 9"/>
    <w:qFormat/>
    <w:basedOn w:val="para0"/>
    <w:pPr>
      <w:spacing w:before="320"/>
      <w:keepNext/>
      <w:outlineLvl w:val="8"/>
      <w:keepLines/>
    </w:pPr>
    <w:rPr>
      <w:rFonts w:ascii="Arial" w:hAnsi="Arial" w:eastAsia="Arial" w:cs="Arial"/>
      <w:i/>
      <w:iCs/>
      <w:sz w:val="21"/>
      <w:szCs w:val="21"/>
    </w:rPr>
  </w:style>
  <w:style w:type="paragraph" w:styleId="para10" w:customStyle="1">
    <w:name w:val="Heading"/>
    <w:qFormat/>
    <w:basedOn w:val="para0"/>
    <w:next w:val="para11"/>
    <w:pPr>
      <w:spacing w:before="240" w:after="120"/>
      <w:keepNext/>
    </w:pPr>
    <w:rPr>
      <w:rFonts w:ascii="Liberation Sans" w:hAnsi="Liberation Sans" w:eastAsia="Noto Sans CJK SC" w:cs="FreeSans"/>
      <w:sz w:val="28"/>
      <w:szCs w:val="28"/>
    </w:rPr>
  </w:style>
  <w:style w:type="paragraph" w:styleId="para11">
    <w:name w:val="Body Text"/>
    <w:qFormat/>
    <w:basedOn w:val="para0"/>
    <w:pPr>
      <w:spacing w:before="200" w:after="0" w:line="240" w:lineRule="auto"/>
      <w:jc w:val="both"/>
    </w:pPr>
    <w:rPr>
      <w:rFonts w:ascii="Times New Roman" w:hAnsi="Times New Roman" w:eastAsia="Times New Roman"/>
      <w:color w:val="000000"/>
      <w:sz w:val="20"/>
      <w:szCs w:val="20"/>
      <w:lang w:val="sl-si" w:eastAsia="sl-si"/>
    </w:rPr>
  </w:style>
  <w:style w:type="paragraph" w:styleId="para12">
    <w:name w:val="List"/>
    <w:qFormat/>
    <w:basedOn w:val="para11"/>
    <w:rPr>
      <w:rFonts w:cs="FreeSans"/>
    </w:rPr>
  </w:style>
  <w:style w:type="paragraph" w:styleId="para13">
    <w:name w:val="caption"/>
    <w:qFormat/>
    <w:basedOn w:val="para0"/>
    <w:rPr>
      <w:b/>
      <w:bCs/>
      <w:color w:val="4472c4"/>
      <w:sz w:val="18"/>
      <w:szCs w:val="18"/>
    </w:rPr>
  </w:style>
  <w:style w:type="paragraph" w:styleId="para14" w:customStyle="1">
    <w:name w:val="Index"/>
    <w:qFormat/>
    <w:basedOn w:val="para0"/>
    <w:pPr>
      <w:suppressLineNumbers/>
    </w:pPr>
    <w:rPr>
      <w:rFonts w:cs="FreeSans"/>
    </w:rPr>
  </w:style>
  <w:style w:type="paragraph" w:styleId="para15">
    <w:name w:val="Title"/>
    <w:qFormat/>
    <w:basedOn w:val="para0"/>
    <w:pPr>
      <w:spacing w:before="300"/>
      <w:contextualSpacing/>
    </w:pPr>
    <w:rPr>
      <w:sz w:val="48"/>
      <w:szCs w:val="48"/>
    </w:rPr>
  </w:style>
  <w:style w:type="paragraph" w:styleId="para16">
    <w:name w:val="Subtitle"/>
    <w:qFormat/>
    <w:basedOn w:val="para0"/>
    <w:pPr>
      <w:spacing w:before="200"/>
    </w:pPr>
    <w:rPr>
      <w:sz w:val="24"/>
      <w:szCs w:val="24"/>
    </w:rPr>
  </w:style>
  <w:style w:type="paragraph" w:styleId="para17">
    <w:name w:val="Quote"/>
    <w:qFormat/>
    <w:basedOn w:val="para0"/>
    <w:pPr>
      <w:ind w:left="720" w:right="720"/>
    </w:pPr>
    <w:rPr>
      <w:i/>
    </w:rPr>
  </w:style>
  <w:style w:type="paragraph" w:styleId="para18">
    <w:name w:val="Intense Quote"/>
    <w:qFormat/>
    <w:basedOn w:val="para0"/>
    <w:pPr>
      <w:ind w:left="720" w:right="720"/>
      <w:spacing w:after="160"/>
      <w:pBdr>
        <w:top w:val="single" w:sz="4" w:space="5" w:color="FFFFFF" tmln="10, 20, 20, 0, 100"/>
        <w:left w:val="single" w:sz="4" w:space="10" w:color="FFFFFF" tmln="10, 20, 20, 0, 200"/>
        <w:bottom w:val="single" w:sz="4" w:space="5" w:color="FFFFFF" tmln="10, 20, 20, 0, 100"/>
        <w:right w:val="single" w:sz="4" w:space="10" w:color="FFFFFF" tmln="10, 20, 20, 0, 200"/>
        <w:between w:val="nil" w:sz="0" w:space="0" w:color="000000" tmln="20, 20, 20, 0, 0"/>
      </w:pBdr>
      <w:shd w:val="solid" w:color="F2F2F2" tmshd="1677721856, 0, 15921906"/>
    </w:pPr>
    <w:rPr>
      <w:i/>
    </w:rPr>
  </w:style>
  <w:style w:type="paragraph" w:styleId="para19">
    <w:name w:val="Footnote Text"/>
    <w:qFormat/>
    <w:basedOn w:val="para0"/>
    <w:pPr>
      <w:spacing w:after="40" w:line="240" w:lineRule="auto"/>
    </w:pPr>
    <w:rPr>
      <w:sz w:val="18"/>
    </w:rPr>
  </w:style>
  <w:style w:type="paragraph" w:styleId="para20">
    <w:name w:val="Endnote Text"/>
    <w:qFormat/>
    <w:basedOn w:val="para0"/>
    <w:pPr>
      <w:spacing w:after="0" w:line="240" w:lineRule="auto"/>
    </w:pPr>
    <w:rPr>
      <w:sz w:val="20"/>
    </w:rPr>
  </w:style>
  <w:style w:type="paragraph" w:styleId="para21">
    <w:name w:val="toc 1"/>
    <w:qFormat/>
    <w:basedOn w:val="para0"/>
    <w:pPr>
      <w:spacing w:after="57"/>
    </w:pPr>
  </w:style>
  <w:style w:type="paragraph" w:styleId="para22">
    <w:name w:val="toc 2"/>
    <w:qFormat/>
    <w:basedOn w:val="para0"/>
    <w:pPr>
      <w:ind w:left="283"/>
      <w:spacing w:after="57"/>
    </w:pPr>
  </w:style>
  <w:style w:type="paragraph" w:styleId="para23">
    <w:name w:val="toc 3"/>
    <w:qFormat/>
    <w:basedOn w:val="para0"/>
    <w:pPr>
      <w:ind w:left="567"/>
      <w:spacing w:after="57"/>
    </w:pPr>
  </w:style>
  <w:style w:type="paragraph" w:styleId="para24">
    <w:name w:val="toc 4"/>
    <w:qFormat/>
    <w:basedOn w:val="para0"/>
    <w:pPr>
      <w:ind w:left="850"/>
      <w:spacing w:after="57"/>
    </w:pPr>
  </w:style>
  <w:style w:type="paragraph" w:styleId="para25">
    <w:name w:val="toc 5"/>
    <w:qFormat/>
    <w:basedOn w:val="para0"/>
    <w:pPr>
      <w:ind w:left="1134"/>
      <w:spacing w:after="57"/>
    </w:pPr>
  </w:style>
  <w:style w:type="paragraph" w:styleId="para26">
    <w:name w:val="toc 6"/>
    <w:qFormat/>
    <w:basedOn w:val="para0"/>
    <w:pPr>
      <w:ind w:left="1417"/>
      <w:spacing w:after="57"/>
    </w:pPr>
  </w:style>
  <w:style w:type="paragraph" w:styleId="para27">
    <w:name w:val="toc 7"/>
    <w:qFormat/>
    <w:basedOn w:val="para0"/>
    <w:pPr>
      <w:ind w:left="1701"/>
      <w:spacing w:after="57"/>
    </w:pPr>
  </w:style>
  <w:style w:type="paragraph" w:styleId="para28">
    <w:name w:val="toc 8"/>
    <w:qFormat/>
    <w:basedOn w:val="para0"/>
    <w:pPr>
      <w:ind w:left="1984"/>
      <w:spacing w:after="57"/>
    </w:pPr>
  </w:style>
  <w:style w:type="paragraph" w:styleId="para29">
    <w:name w:val="toc 9"/>
    <w:qFormat/>
    <w:basedOn w:val="para0"/>
    <w:pPr>
      <w:ind w:left="2268"/>
      <w:spacing w:after="57"/>
    </w:pPr>
  </w:style>
  <w:style w:type="paragraph" w:styleId="para30">
    <w:name w:val="TOC Heading"/>
    <w:qFormat/>
    <w:pPr>
      <w:spacing w:after="160" w:line="259" w:lineRule="auto"/>
    </w:pPr>
    <w:rPr>
      <w:rFonts w:ascii="Calibri" w:hAnsi="Calibri" w:eastAsia="Calibri" w:cs="Arial"/>
      <w:sz w:val="22"/>
      <w:szCs w:val="22"/>
      <w:lang w:val="sl-si" w:eastAsia="en-us" w:bidi="ar-sa"/>
    </w:rPr>
  </w:style>
  <w:style w:type="paragraph" w:styleId="para31">
    <w:name w:val="Table of Figures"/>
    <w:qFormat/>
    <w:basedOn w:val="para0"/>
    <w:pPr>
      <w:spacing w:after="0"/>
    </w:pPr>
  </w:style>
  <w:style w:type="paragraph" w:styleId="para32">
    <w:name w:val="Normal (Web)"/>
    <w:qFormat/>
    <w:basedOn w:val="para0"/>
    <w:pPr>
      <w:spacing w:beforeAutospacing="1" w:afterAutospacing="1" w:line="240" w:lineRule="auto"/>
    </w:pPr>
    <w:rPr>
      <w:rFonts w:ascii="Times New Roman" w:hAnsi="Times New Roman" w:eastAsia="Times New Roman"/>
      <w:sz w:val="24"/>
      <w:szCs w:val="24"/>
      <w:lang w:val="sl-si" w:eastAsia="sl-si"/>
    </w:rPr>
  </w:style>
  <w:style w:type="paragraph" w:styleId="para33">
    <w:name w:val="Balloon Text"/>
    <w:qFormat/>
    <w:basedOn w:val="para0"/>
    <w:pPr>
      <w:spacing w:after="0" w:line="240" w:lineRule="auto"/>
    </w:pPr>
    <w:rPr>
      <w:rFonts w:ascii="Segoe UI" w:hAnsi="Segoe UI" w:cs="Segoe UI"/>
      <w:sz w:val="18"/>
      <w:szCs w:val="18"/>
    </w:rPr>
  </w:style>
  <w:style w:type="paragraph" w:styleId="para34">
    <w:name w:val="No Spacing"/>
    <w:qFormat/>
    <w:pPr>
      <w:spacing w:after="0" w:line="240" w:lineRule="auto"/>
    </w:pPr>
    <w:rPr>
      <w:rFonts w:ascii="Calibri" w:hAnsi="Calibri" w:eastAsia="Calibri" w:cs="Arial"/>
      <w:sz w:val="22"/>
      <w:szCs w:val="22"/>
      <w:lang w:val="sl-si" w:eastAsia="en-us" w:bidi="ar-sa"/>
    </w:rPr>
  </w:style>
  <w:style w:type="paragraph" w:styleId="para35" w:customStyle="1">
    <w:name w:val="Header and Footer"/>
    <w:qFormat/>
    <w:basedOn w:val="para0"/>
  </w:style>
  <w:style w:type="paragraph" w:styleId="para36">
    <w:name w:val="Header"/>
    <w:qFormat/>
    <w:basedOn w:val="para0"/>
    <w:pPr>
      <w:spacing w:after="0" w:line="240" w:lineRule="auto"/>
      <w:tabs defTabSz="708">
        <w:tab w:val="center" w:pos="4536" w:leader="none"/>
        <w:tab w:val="right" w:pos="9072" w:leader="none"/>
      </w:tabs>
    </w:pPr>
  </w:style>
  <w:style w:type="paragraph" w:styleId="para37">
    <w:name w:val="Footer"/>
    <w:qFormat/>
    <w:basedOn w:val="para0"/>
    <w:pPr>
      <w:spacing w:after="0" w:line="240" w:lineRule="auto"/>
      <w:tabs defTabSz="708">
        <w:tab w:val="center" w:pos="4536" w:leader="none"/>
        <w:tab w:val="right" w:pos="9072" w:leader="none"/>
      </w:tabs>
    </w:pPr>
  </w:style>
  <w:style w:type="paragraph" w:styleId="para38">
    <w:name w:val="List Paragraph"/>
    <w:qFormat/>
    <w:basedOn w:val="para0"/>
    <w:pPr>
      <w:ind w:left="720"/>
      <w:contextualSpacing/>
    </w:pPr>
  </w:style>
  <w:style w:type="paragraph" w:styleId="para39" w:customStyle="1">
    <w:name w:val="annotation text"/>
    <w:qFormat/>
    <w:basedOn w:val="para0"/>
    <w:pPr>
      <w:spacing w:line="240" w:lineRule="auto"/>
    </w:pPr>
    <w:rPr>
      <w:sz w:val="20"/>
      <w:szCs w:val="20"/>
    </w:rPr>
  </w:style>
  <w:style w:type="paragraph" w:styleId="para40" w:customStyle="1">
    <w:name w:val="annotation subject"/>
    <w:qFormat/>
    <w:basedOn w:val="para39"/>
    <w:rPr>
      <w:b/>
      <w:bCs/>
    </w:rPr>
  </w:style>
  <w:style w:type="paragraph" w:styleId="para41" w:customStyle="1">
    <w:name w:val="Revision"/>
    <w:qFormat/>
    <w:pPr>
      <w:spacing w:after="0" w:line="240" w:lineRule="auto"/>
    </w:pPr>
    <w:rPr>
      <w:rFonts w:ascii="Calibri" w:hAnsi="Calibri" w:eastAsia="Calibri" w:cs="Times New Roman"/>
      <w:sz w:val="22"/>
      <w:szCs w:val="22"/>
      <w:lang w:val="en-us" w:eastAsia="en-us" w:bidi="ar-sa"/>
    </w:rPr>
  </w:style>
  <w:style w:type="paragraph" w:styleId="para42">
    <w:name w:val="Comment Text"/>
    <w:qFormat/>
    <w:basedOn w:val="para0"/>
    <w:pPr>
      <w:spacing w:after="0" w:line="240" w:lineRule="auto"/>
    </w:pPr>
    <w:rPr>
      <w:sz w:val="20"/>
      <w:szCs w:val="20"/>
    </w:rPr>
  </w:style>
  <w:style w:type="paragraph" w:styleId="para43">
    <w:name w:val="Comment Subject"/>
    <w:qFormat/>
    <w:basedOn w:val="para42"/>
    <w:next w:val="para42"/>
    <w:rPr>
      <w:b/>
      <w:bCs/>
    </w:rPr>
  </w:style>
  <w:style w:type="character" w:styleId="char0" w:default="1">
    <w:name w:val="Default Paragraph Font"/>
  </w:style>
  <w:style w:type="character" w:styleId="char1" w:customStyle="1">
    <w:name w:val="Heading 1 Char"/>
    <w:basedOn w:val="char0"/>
    <w:rPr>
      <w:rFonts w:ascii="Arial" w:hAnsi="Arial" w:eastAsia="Arial" w:cs="Arial"/>
      <w:sz w:val="40"/>
      <w:szCs w:val="40"/>
    </w:rPr>
  </w:style>
  <w:style w:type="character" w:styleId="char2" w:customStyle="1">
    <w:name w:val="Heading 2 Char"/>
    <w:basedOn w:val="char0"/>
    <w:rPr>
      <w:rFonts w:ascii="Arial" w:hAnsi="Arial" w:eastAsia="Arial" w:cs="Arial"/>
      <w:sz w:val="34"/>
    </w:rPr>
  </w:style>
  <w:style w:type="character" w:styleId="char3" w:customStyle="1">
    <w:name w:val="Heading 3 Char"/>
    <w:basedOn w:val="char0"/>
    <w:rPr>
      <w:rFonts w:ascii="Arial" w:hAnsi="Arial" w:eastAsia="Arial" w:cs="Arial"/>
      <w:sz w:val="30"/>
      <w:szCs w:val="30"/>
    </w:rPr>
  </w:style>
  <w:style w:type="character" w:styleId="char4" w:customStyle="1">
    <w:name w:val="Heading 4 Char"/>
    <w:basedOn w:val="char0"/>
    <w:rPr>
      <w:rFonts w:ascii="Arial" w:hAnsi="Arial" w:eastAsia="Arial" w:cs="Arial"/>
      <w:b/>
      <w:bCs/>
      <w:sz w:val="26"/>
      <w:szCs w:val="26"/>
    </w:rPr>
  </w:style>
  <w:style w:type="character" w:styleId="char5" w:customStyle="1">
    <w:name w:val="Heading 5 Char"/>
    <w:basedOn w:val="char0"/>
    <w:rPr>
      <w:rFonts w:ascii="Arial" w:hAnsi="Arial" w:eastAsia="Arial" w:cs="Arial"/>
      <w:b/>
      <w:bCs/>
      <w:sz w:val="24"/>
      <w:szCs w:val="24"/>
    </w:rPr>
  </w:style>
  <w:style w:type="character" w:styleId="char6" w:customStyle="1">
    <w:name w:val="Heading 6 Char"/>
    <w:basedOn w:val="char0"/>
    <w:rPr>
      <w:rFonts w:ascii="Arial" w:hAnsi="Arial" w:eastAsia="Arial" w:cs="Arial"/>
      <w:b/>
      <w:bCs/>
      <w:sz w:val="22"/>
      <w:szCs w:val="22"/>
    </w:rPr>
  </w:style>
  <w:style w:type="character" w:styleId="char7" w:customStyle="1">
    <w:name w:val="Heading 7 Char"/>
    <w:basedOn w:val="char0"/>
    <w:rPr>
      <w:rFonts w:ascii="Arial" w:hAnsi="Arial" w:eastAsia="Arial" w:cs="Arial"/>
      <w:b/>
      <w:bCs/>
      <w:i/>
      <w:iCs/>
      <w:sz w:val="22"/>
      <w:szCs w:val="22"/>
    </w:rPr>
  </w:style>
  <w:style w:type="character" w:styleId="char8" w:customStyle="1">
    <w:name w:val="Heading 8 Char"/>
    <w:basedOn w:val="char0"/>
    <w:rPr>
      <w:rFonts w:ascii="Arial" w:hAnsi="Arial" w:eastAsia="Arial" w:cs="Arial"/>
      <w:i/>
      <w:iCs/>
      <w:sz w:val="22"/>
      <w:szCs w:val="22"/>
    </w:rPr>
  </w:style>
  <w:style w:type="character" w:styleId="char9" w:customStyle="1">
    <w:name w:val="Heading 9 Char"/>
    <w:basedOn w:val="char0"/>
    <w:rPr>
      <w:rFonts w:ascii="Arial" w:hAnsi="Arial" w:eastAsia="Arial" w:cs="Arial"/>
      <w:i/>
      <w:iCs/>
      <w:sz w:val="21"/>
      <w:szCs w:val="21"/>
    </w:rPr>
  </w:style>
  <w:style w:type="character" w:styleId="char10" w:customStyle="1">
    <w:name w:val="Title Char"/>
    <w:basedOn w:val="char0"/>
    <w:rPr>
      <w:sz w:val="48"/>
      <w:szCs w:val="48"/>
    </w:rPr>
  </w:style>
  <w:style w:type="character" w:styleId="char11" w:customStyle="1">
    <w:name w:val="Subtitle Char"/>
    <w:basedOn w:val="char0"/>
    <w:rPr>
      <w:sz w:val="24"/>
      <w:szCs w:val="24"/>
    </w:rPr>
  </w:style>
  <w:style w:type="character" w:styleId="char12" w:customStyle="1">
    <w:name w:val="Quote Char"/>
    <w:rPr>
      <w:i/>
    </w:rPr>
  </w:style>
  <w:style w:type="character" w:styleId="char13" w:customStyle="1">
    <w:name w:val="Intense Quote Char"/>
    <w:rPr>
      <w:i/>
    </w:rPr>
  </w:style>
  <w:style w:type="character" w:styleId="char14" w:customStyle="1">
    <w:name w:val="Caption Char"/>
  </w:style>
  <w:style w:type="character" w:styleId="char15" w:customStyle="1">
    <w:name w:val="Footnote Text Char"/>
    <w:rPr>
      <w:sz w:val="18"/>
    </w:rPr>
  </w:style>
  <w:style w:type="character" w:styleId="char16" w:customStyle="1">
    <w:name w:val="Footnote Characters"/>
    <w:rPr>
      <w:vertAlign w:val="superscript"/>
    </w:rPr>
  </w:style>
  <w:style w:type="character" w:styleId="char17" w:customStyle="1">
    <w:name w:val="Footnote Anchor"/>
    <w:rPr>
      <w:vertAlign w:val="superscript"/>
    </w:rPr>
  </w:style>
  <w:style w:type="character" w:styleId="char18" w:customStyle="1">
    <w:name w:val="Endnote Text Char"/>
    <w:rPr>
      <w:sz w:val="20"/>
    </w:rPr>
  </w:style>
  <w:style w:type="character" w:styleId="char19" w:customStyle="1">
    <w:name w:val="Endnote Characters"/>
    <w:rPr>
      <w:vertAlign w:val="superscript"/>
    </w:rPr>
  </w:style>
  <w:style w:type="character" w:styleId="char20" w:customStyle="1">
    <w:name w:val="Endnote Anchor"/>
    <w:rPr>
      <w:vertAlign w:val="superscript"/>
    </w:rPr>
  </w:style>
  <w:style w:type="character" w:styleId="char21">
    <w:name w:val="Hyperlink"/>
    <w:basedOn w:val="char0"/>
    <w:rPr>
      <w:color w:val="0563c1"/>
      <w:u w:color="auto" w:val="single"/>
    </w:rPr>
  </w:style>
  <w:style w:type="character" w:styleId="char22" w:customStyle="1">
    <w:name w:val="Balloon Text Char"/>
    <w:basedOn w:val="char0"/>
    <w:rPr>
      <w:rFonts w:ascii="Segoe UI" w:hAnsi="Segoe UI" w:eastAsia="Calibri" w:cs="Segoe UI"/>
      <w:sz w:val="18"/>
      <w:szCs w:val="18"/>
      <w:lang w:val="en-us"/>
    </w:rPr>
  </w:style>
  <w:style w:type="character" w:styleId="char23" w:customStyle="1">
    <w:name w:val="No Spacing Char"/>
  </w:style>
  <w:style w:type="character" w:styleId="char24" w:customStyle="1">
    <w:name w:val="Header Char"/>
    <w:basedOn w:val="char0"/>
    <w:rPr>
      <w:rFonts w:ascii="Calibri" w:hAnsi="Calibri" w:eastAsia="Calibri" w:cs="Times New Roman"/>
      <w:lang w:val="en-us"/>
    </w:rPr>
  </w:style>
  <w:style w:type="character" w:styleId="char25" w:customStyle="1">
    <w:name w:val="Footer Char"/>
    <w:basedOn w:val="char0"/>
    <w:rPr>
      <w:rFonts w:ascii="Calibri" w:hAnsi="Calibri" w:eastAsia="Calibri" w:cs="Times New Roman"/>
      <w:lang w:val="en-us"/>
    </w:rPr>
  </w:style>
  <w:style w:type="character" w:styleId="char26" w:customStyle="1">
    <w:name w:val="Nerazrešena omemba1"/>
    <w:basedOn w:val="char0"/>
    <w:rPr>
      <w:color w:val="605e5c"/>
      <w:shd w:val="clear" w:fill="e1dfdd"/>
    </w:rPr>
  </w:style>
  <w:style w:type="character" w:styleId="char27" w:customStyle="1">
    <w:name w:val="annotation reference"/>
    <w:basedOn w:val="char0"/>
    <w:rPr>
      <w:sz w:val="16"/>
      <w:szCs w:val="16"/>
    </w:rPr>
  </w:style>
  <w:style w:type="character" w:styleId="char28" w:customStyle="1">
    <w:name w:val="Comment Text Char"/>
    <w:basedOn w:val="char0"/>
    <w:rPr>
      <w:rFonts w:ascii="Calibri" w:hAnsi="Calibri" w:eastAsia="Calibri" w:cs="Times New Roman"/>
      <w:sz w:val="20"/>
      <w:szCs w:val="20"/>
      <w:lang w:val="en-us"/>
    </w:rPr>
  </w:style>
  <w:style w:type="character" w:styleId="char29" w:customStyle="1">
    <w:name w:val="Comment Subject Char"/>
    <w:basedOn w:val="char28"/>
    <w:rPr>
      <w:rFonts w:ascii="Calibri" w:hAnsi="Calibri" w:eastAsia="Calibri" w:cs="Times New Roman"/>
      <w:b/>
      <w:bCs/>
      <w:sz w:val="20"/>
      <w:szCs w:val="20"/>
      <w:lang w:val="en-us"/>
    </w:rPr>
  </w:style>
  <w:style w:type="character" w:styleId="char30" w:customStyle="1">
    <w:name w:val="Numbering Symbols"/>
  </w:style>
  <w:style w:type="character" w:styleId="char31" w:customStyle="1">
    <w:name w:val="Line Numbering"/>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Arial"/>
        <w:sz w:val="22"/>
        <w:szCs w:val="22"/>
        <w:lang w:val="sl-si" w:eastAsia="en-us" w:bidi="ar-sa"/>
      </w:rPr>
    </w:rPrDefault>
    <w:pPrDefault>
      <w:pPr>
        <w:spacing w:after="200" w:line="276" w:lineRule="auto"/>
        <w:suppressAutoHyphens/>
        <w:hyphenationLines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cs="Times New Roman"/>
      <w:lang w:val="en-us"/>
    </w:rPr>
  </w:style>
  <w:style w:type="paragraph" w:styleId="para1">
    <w:name w:val="heading 1"/>
    <w:qFormat/>
    <w:basedOn w:val="para0"/>
    <w:pPr>
      <w:spacing w:before="480"/>
      <w:keepNext/>
      <w:outlineLvl w:val="0"/>
      <w:keepLines/>
    </w:pPr>
    <w:rPr>
      <w:rFonts w:ascii="Arial" w:hAnsi="Arial" w:eastAsia="Arial" w:cs="Arial"/>
      <w:sz w:val="40"/>
      <w:szCs w:val="40"/>
    </w:rPr>
  </w:style>
  <w:style w:type="paragraph" w:styleId="para2">
    <w:name w:val="heading 2"/>
    <w:qFormat/>
    <w:basedOn w:val="para0"/>
    <w:pPr>
      <w:spacing w:before="360"/>
      <w:keepNext/>
      <w:outlineLvl w:val="1"/>
      <w:keepLines/>
    </w:pPr>
    <w:rPr>
      <w:rFonts w:ascii="Arial" w:hAnsi="Arial" w:eastAsia="Arial" w:cs="Arial"/>
      <w:sz w:val="34"/>
    </w:rPr>
  </w:style>
  <w:style w:type="paragraph" w:styleId="para3">
    <w:name w:val="heading 3"/>
    <w:qFormat/>
    <w:basedOn w:val="para0"/>
    <w:pPr>
      <w:spacing w:before="320"/>
      <w:keepNext/>
      <w:outlineLvl w:val="2"/>
      <w:keepLines/>
    </w:pPr>
    <w:rPr>
      <w:rFonts w:ascii="Arial" w:hAnsi="Arial" w:eastAsia="Arial" w:cs="Arial"/>
      <w:sz w:val="30"/>
      <w:szCs w:val="30"/>
    </w:rPr>
  </w:style>
  <w:style w:type="paragraph" w:styleId="para4">
    <w:name w:val="heading 4"/>
    <w:qFormat/>
    <w:basedOn w:val="para0"/>
    <w:pPr>
      <w:spacing w:before="320"/>
      <w:keepNext/>
      <w:outlineLvl w:val="3"/>
      <w:keepLines/>
    </w:pPr>
    <w:rPr>
      <w:rFonts w:ascii="Arial" w:hAnsi="Arial" w:eastAsia="Arial" w:cs="Arial"/>
      <w:b/>
      <w:bCs/>
      <w:sz w:val="26"/>
      <w:szCs w:val="26"/>
    </w:rPr>
  </w:style>
  <w:style w:type="paragraph" w:styleId="para5">
    <w:name w:val="heading 5"/>
    <w:qFormat/>
    <w:basedOn w:val="para0"/>
    <w:pPr>
      <w:spacing w:before="320"/>
      <w:keepNext/>
      <w:outlineLvl w:val="4"/>
      <w:keepLines/>
    </w:pPr>
    <w:rPr>
      <w:rFonts w:ascii="Arial" w:hAnsi="Arial" w:eastAsia="Arial" w:cs="Arial"/>
      <w:b/>
      <w:bCs/>
      <w:sz w:val="24"/>
      <w:szCs w:val="24"/>
    </w:rPr>
  </w:style>
  <w:style w:type="paragraph" w:styleId="para6">
    <w:name w:val="heading 6"/>
    <w:qFormat/>
    <w:basedOn w:val="para0"/>
    <w:pPr>
      <w:spacing w:before="320"/>
      <w:keepNext/>
      <w:outlineLvl w:val="5"/>
      <w:keepLines/>
    </w:pPr>
    <w:rPr>
      <w:rFonts w:ascii="Arial" w:hAnsi="Arial" w:eastAsia="Arial" w:cs="Arial"/>
      <w:b/>
      <w:bCs/>
    </w:rPr>
  </w:style>
  <w:style w:type="paragraph" w:styleId="para7">
    <w:name w:val="heading 7"/>
    <w:qFormat/>
    <w:basedOn w:val="para0"/>
    <w:pPr>
      <w:spacing w:before="320"/>
      <w:keepNext/>
      <w:outlineLvl w:val="6"/>
      <w:keepLines/>
    </w:pPr>
    <w:rPr>
      <w:rFonts w:ascii="Arial" w:hAnsi="Arial" w:eastAsia="Arial" w:cs="Arial"/>
      <w:b/>
      <w:bCs/>
      <w:i/>
      <w:iCs/>
    </w:rPr>
  </w:style>
  <w:style w:type="paragraph" w:styleId="para8">
    <w:name w:val="heading 8"/>
    <w:qFormat/>
    <w:basedOn w:val="para0"/>
    <w:pPr>
      <w:spacing w:before="320"/>
      <w:keepNext/>
      <w:outlineLvl w:val="7"/>
      <w:keepLines/>
    </w:pPr>
    <w:rPr>
      <w:rFonts w:ascii="Arial" w:hAnsi="Arial" w:eastAsia="Arial" w:cs="Arial"/>
      <w:i/>
      <w:iCs/>
    </w:rPr>
  </w:style>
  <w:style w:type="paragraph" w:styleId="para9">
    <w:name w:val="heading 9"/>
    <w:qFormat/>
    <w:basedOn w:val="para0"/>
    <w:pPr>
      <w:spacing w:before="320"/>
      <w:keepNext/>
      <w:outlineLvl w:val="8"/>
      <w:keepLines/>
    </w:pPr>
    <w:rPr>
      <w:rFonts w:ascii="Arial" w:hAnsi="Arial" w:eastAsia="Arial" w:cs="Arial"/>
      <w:i/>
      <w:iCs/>
      <w:sz w:val="21"/>
      <w:szCs w:val="21"/>
    </w:rPr>
  </w:style>
  <w:style w:type="paragraph" w:styleId="para10" w:customStyle="1">
    <w:name w:val="Heading"/>
    <w:qFormat/>
    <w:basedOn w:val="para0"/>
    <w:next w:val="para11"/>
    <w:pPr>
      <w:spacing w:before="240" w:after="120"/>
      <w:keepNext/>
    </w:pPr>
    <w:rPr>
      <w:rFonts w:ascii="Liberation Sans" w:hAnsi="Liberation Sans" w:eastAsia="Noto Sans CJK SC" w:cs="FreeSans"/>
      <w:sz w:val="28"/>
      <w:szCs w:val="28"/>
    </w:rPr>
  </w:style>
  <w:style w:type="paragraph" w:styleId="para11">
    <w:name w:val="Body Text"/>
    <w:qFormat/>
    <w:basedOn w:val="para0"/>
    <w:pPr>
      <w:spacing w:before="200" w:after="0" w:line="240" w:lineRule="auto"/>
      <w:jc w:val="both"/>
    </w:pPr>
    <w:rPr>
      <w:rFonts w:ascii="Times New Roman" w:hAnsi="Times New Roman" w:eastAsia="Times New Roman"/>
      <w:color w:val="000000"/>
      <w:sz w:val="20"/>
      <w:szCs w:val="20"/>
      <w:lang w:val="sl-si" w:eastAsia="sl-si"/>
    </w:rPr>
  </w:style>
  <w:style w:type="paragraph" w:styleId="para12">
    <w:name w:val="List"/>
    <w:qFormat/>
    <w:basedOn w:val="para11"/>
    <w:rPr>
      <w:rFonts w:cs="FreeSans"/>
    </w:rPr>
  </w:style>
  <w:style w:type="paragraph" w:styleId="para13">
    <w:name w:val="caption"/>
    <w:qFormat/>
    <w:basedOn w:val="para0"/>
    <w:rPr>
      <w:b/>
      <w:bCs/>
      <w:color w:val="4472c4"/>
      <w:sz w:val="18"/>
      <w:szCs w:val="18"/>
    </w:rPr>
  </w:style>
  <w:style w:type="paragraph" w:styleId="para14" w:customStyle="1">
    <w:name w:val="Index"/>
    <w:qFormat/>
    <w:basedOn w:val="para0"/>
    <w:pPr>
      <w:suppressLineNumbers/>
    </w:pPr>
    <w:rPr>
      <w:rFonts w:cs="FreeSans"/>
    </w:rPr>
  </w:style>
  <w:style w:type="paragraph" w:styleId="para15">
    <w:name w:val="Title"/>
    <w:qFormat/>
    <w:basedOn w:val="para0"/>
    <w:pPr>
      <w:spacing w:before="300"/>
      <w:contextualSpacing/>
    </w:pPr>
    <w:rPr>
      <w:sz w:val="48"/>
      <w:szCs w:val="48"/>
    </w:rPr>
  </w:style>
  <w:style w:type="paragraph" w:styleId="para16">
    <w:name w:val="Subtitle"/>
    <w:qFormat/>
    <w:basedOn w:val="para0"/>
    <w:pPr>
      <w:spacing w:before="200"/>
    </w:pPr>
    <w:rPr>
      <w:sz w:val="24"/>
      <w:szCs w:val="24"/>
    </w:rPr>
  </w:style>
  <w:style w:type="paragraph" w:styleId="para17">
    <w:name w:val="Quote"/>
    <w:qFormat/>
    <w:basedOn w:val="para0"/>
    <w:pPr>
      <w:ind w:left="720" w:right="720"/>
    </w:pPr>
    <w:rPr>
      <w:i/>
    </w:rPr>
  </w:style>
  <w:style w:type="paragraph" w:styleId="para18">
    <w:name w:val="Intense Quote"/>
    <w:qFormat/>
    <w:basedOn w:val="para0"/>
    <w:pPr>
      <w:ind w:left="720" w:right="720"/>
      <w:spacing w:after="160"/>
      <w:pBdr>
        <w:top w:val="single" w:sz="4" w:space="5" w:color="FFFFFF" tmln="10, 20, 20, 0, 100"/>
        <w:left w:val="single" w:sz="4" w:space="10" w:color="FFFFFF" tmln="10, 20, 20, 0, 200"/>
        <w:bottom w:val="single" w:sz="4" w:space="5" w:color="FFFFFF" tmln="10, 20, 20, 0, 100"/>
        <w:right w:val="single" w:sz="4" w:space="10" w:color="FFFFFF" tmln="10, 20, 20, 0, 200"/>
        <w:between w:val="nil" w:sz="0" w:space="0" w:color="000000" tmln="20, 20, 20, 0, 0"/>
      </w:pBdr>
      <w:shd w:val="solid" w:color="F2F2F2" tmshd="1677721856, 0, 15921906"/>
    </w:pPr>
    <w:rPr>
      <w:i/>
    </w:rPr>
  </w:style>
  <w:style w:type="paragraph" w:styleId="para19">
    <w:name w:val="Footnote Text"/>
    <w:qFormat/>
    <w:basedOn w:val="para0"/>
    <w:pPr>
      <w:spacing w:after="40" w:line="240" w:lineRule="auto"/>
    </w:pPr>
    <w:rPr>
      <w:sz w:val="18"/>
    </w:rPr>
  </w:style>
  <w:style w:type="paragraph" w:styleId="para20">
    <w:name w:val="Endnote Text"/>
    <w:qFormat/>
    <w:basedOn w:val="para0"/>
    <w:pPr>
      <w:spacing w:after="0" w:line="240" w:lineRule="auto"/>
    </w:pPr>
    <w:rPr>
      <w:sz w:val="20"/>
    </w:rPr>
  </w:style>
  <w:style w:type="paragraph" w:styleId="para21">
    <w:name w:val="toc 1"/>
    <w:qFormat/>
    <w:basedOn w:val="para0"/>
    <w:pPr>
      <w:spacing w:after="57"/>
    </w:pPr>
  </w:style>
  <w:style w:type="paragraph" w:styleId="para22">
    <w:name w:val="toc 2"/>
    <w:qFormat/>
    <w:basedOn w:val="para0"/>
    <w:pPr>
      <w:ind w:left="283"/>
      <w:spacing w:after="57"/>
    </w:pPr>
  </w:style>
  <w:style w:type="paragraph" w:styleId="para23">
    <w:name w:val="toc 3"/>
    <w:qFormat/>
    <w:basedOn w:val="para0"/>
    <w:pPr>
      <w:ind w:left="567"/>
      <w:spacing w:after="57"/>
    </w:pPr>
  </w:style>
  <w:style w:type="paragraph" w:styleId="para24">
    <w:name w:val="toc 4"/>
    <w:qFormat/>
    <w:basedOn w:val="para0"/>
    <w:pPr>
      <w:ind w:left="850"/>
      <w:spacing w:after="57"/>
    </w:pPr>
  </w:style>
  <w:style w:type="paragraph" w:styleId="para25">
    <w:name w:val="toc 5"/>
    <w:qFormat/>
    <w:basedOn w:val="para0"/>
    <w:pPr>
      <w:ind w:left="1134"/>
      <w:spacing w:after="57"/>
    </w:pPr>
  </w:style>
  <w:style w:type="paragraph" w:styleId="para26">
    <w:name w:val="toc 6"/>
    <w:qFormat/>
    <w:basedOn w:val="para0"/>
    <w:pPr>
      <w:ind w:left="1417"/>
      <w:spacing w:after="57"/>
    </w:pPr>
  </w:style>
  <w:style w:type="paragraph" w:styleId="para27">
    <w:name w:val="toc 7"/>
    <w:qFormat/>
    <w:basedOn w:val="para0"/>
    <w:pPr>
      <w:ind w:left="1701"/>
      <w:spacing w:after="57"/>
    </w:pPr>
  </w:style>
  <w:style w:type="paragraph" w:styleId="para28">
    <w:name w:val="toc 8"/>
    <w:qFormat/>
    <w:basedOn w:val="para0"/>
    <w:pPr>
      <w:ind w:left="1984"/>
      <w:spacing w:after="57"/>
    </w:pPr>
  </w:style>
  <w:style w:type="paragraph" w:styleId="para29">
    <w:name w:val="toc 9"/>
    <w:qFormat/>
    <w:basedOn w:val="para0"/>
    <w:pPr>
      <w:ind w:left="2268"/>
      <w:spacing w:after="57"/>
    </w:pPr>
  </w:style>
  <w:style w:type="paragraph" w:styleId="para30">
    <w:name w:val="TOC Heading"/>
    <w:qFormat/>
    <w:pPr>
      <w:spacing w:after="160" w:line="259" w:lineRule="auto"/>
    </w:pPr>
    <w:rPr>
      <w:rFonts w:ascii="Calibri" w:hAnsi="Calibri" w:eastAsia="Calibri" w:cs="Arial"/>
      <w:sz w:val="22"/>
      <w:szCs w:val="22"/>
      <w:lang w:val="sl-si" w:eastAsia="en-us" w:bidi="ar-sa"/>
    </w:rPr>
  </w:style>
  <w:style w:type="paragraph" w:styleId="para31">
    <w:name w:val="Table of Figures"/>
    <w:qFormat/>
    <w:basedOn w:val="para0"/>
    <w:pPr>
      <w:spacing w:after="0"/>
    </w:pPr>
  </w:style>
  <w:style w:type="paragraph" w:styleId="para32">
    <w:name w:val="Normal (Web)"/>
    <w:qFormat/>
    <w:basedOn w:val="para0"/>
    <w:pPr>
      <w:spacing w:beforeAutospacing="1" w:afterAutospacing="1" w:line="240" w:lineRule="auto"/>
    </w:pPr>
    <w:rPr>
      <w:rFonts w:ascii="Times New Roman" w:hAnsi="Times New Roman" w:eastAsia="Times New Roman"/>
      <w:sz w:val="24"/>
      <w:szCs w:val="24"/>
      <w:lang w:val="sl-si" w:eastAsia="sl-si"/>
    </w:rPr>
  </w:style>
  <w:style w:type="paragraph" w:styleId="para33">
    <w:name w:val="Balloon Text"/>
    <w:qFormat/>
    <w:basedOn w:val="para0"/>
    <w:pPr>
      <w:spacing w:after="0" w:line="240" w:lineRule="auto"/>
    </w:pPr>
    <w:rPr>
      <w:rFonts w:ascii="Segoe UI" w:hAnsi="Segoe UI" w:cs="Segoe UI"/>
      <w:sz w:val="18"/>
      <w:szCs w:val="18"/>
    </w:rPr>
  </w:style>
  <w:style w:type="paragraph" w:styleId="para34">
    <w:name w:val="No Spacing"/>
    <w:qFormat/>
    <w:pPr>
      <w:spacing w:after="0" w:line="240" w:lineRule="auto"/>
    </w:pPr>
    <w:rPr>
      <w:rFonts w:ascii="Calibri" w:hAnsi="Calibri" w:eastAsia="Calibri" w:cs="Arial"/>
      <w:sz w:val="22"/>
      <w:szCs w:val="22"/>
      <w:lang w:val="sl-si" w:eastAsia="en-us" w:bidi="ar-sa"/>
    </w:rPr>
  </w:style>
  <w:style w:type="paragraph" w:styleId="para35" w:customStyle="1">
    <w:name w:val="Header and Footer"/>
    <w:qFormat/>
    <w:basedOn w:val="para0"/>
  </w:style>
  <w:style w:type="paragraph" w:styleId="para36">
    <w:name w:val="Header"/>
    <w:qFormat/>
    <w:basedOn w:val="para0"/>
    <w:pPr>
      <w:spacing w:after="0" w:line="240" w:lineRule="auto"/>
      <w:tabs defTabSz="708">
        <w:tab w:val="center" w:pos="4536" w:leader="none"/>
        <w:tab w:val="right" w:pos="9072" w:leader="none"/>
      </w:tabs>
    </w:pPr>
  </w:style>
  <w:style w:type="paragraph" w:styleId="para37">
    <w:name w:val="Footer"/>
    <w:qFormat/>
    <w:basedOn w:val="para0"/>
    <w:pPr>
      <w:spacing w:after="0" w:line="240" w:lineRule="auto"/>
      <w:tabs defTabSz="708">
        <w:tab w:val="center" w:pos="4536" w:leader="none"/>
        <w:tab w:val="right" w:pos="9072" w:leader="none"/>
      </w:tabs>
    </w:pPr>
  </w:style>
  <w:style w:type="paragraph" w:styleId="para38">
    <w:name w:val="List Paragraph"/>
    <w:qFormat/>
    <w:basedOn w:val="para0"/>
    <w:pPr>
      <w:ind w:left="720"/>
      <w:contextualSpacing/>
    </w:pPr>
  </w:style>
  <w:style w:type="paragraph" w:styleId="para39" w:customStyle="1">
    <w:name w:val="annotation text"/>
    <w:qFormat/>
    <w:basedOn w:val="para0"/>
    <w:pPr>
      <w:spacing w:line="240" w:lineRule="auto"/>
    </w:pPr>
    <w:rPr>
      <w:sz w:val="20"/>
      <w:szCs w:val="20"/>
    </w:rPr>
  </w:style>
  <w:style w:type="paragraph" w:styleId="para40" w:customStyle="1">
    <w:name w:val="annotation subject"/>
    <w:qFormat/>
    <w:basedOn w:val="para39"/>
    <w:rPr>
      <w:b/>
      <w:bCs/>
    </w:rPr>
  </w:style>
  <w:style w:type="paragraph" w:styleId="para41" w:customStyle="1">
    <w:name w:val="Revision"/>
    <w:qFormat/>
    <w:pPr>
      <w:spacing w:after="0" w:line="240" w:lineRule="auto"/>
    </w:pPr>
    <w:rPr>
      <w:rFonts w:ascii="Calibri" w:hAnsi="Calibri" w:eastAsia="Calibri" w:cs="Times New Roman"/>
      <w:sz w:val="22"/>
      <w:szCs w:val="22"/>
      <w:lang w:val="en-us" w:eastAsia="en-us" w:bidi="ar-sa"/>
    </w:rPr>
  </w:style>
  <w:style w:type="paragraph" w:styleId="para42">
    <w:name w:val="Comment Text"/>
    <w:qFormat/>
    <w:basedOn w:val="para0"/>
    <w:pPr>
      <w:spacing w:after="0" w:line="240" w:lineRule="auto"/>
    </w:pPr>
    <w:rPr>
      <w:sz w:val="20"/>
      <w:szCs w:val="20"/>
    </w:rPr>
  </w:style>
  <w:style w:type="paragraph" w:styleId="para43">
    <w:name w:val="Comment Subject"/>
    <w:qFormat/>
    <w:basedOn w:val="para42"/>
    <w:next w:val="para42"/>
    <w:rPr>
      <w:b/>
      <w:bCs/>
    </w:rPr>
  </w:style>
  <w:style w:type="character" w:styleId="char0" w:default="1">
    <w:name w:val="Default Paragraph Font"/>
  </w:style>
  <w:style w:type="character" w:styleId="char1" w:customStyle="1">
    <w:name w:val="Heading 1 Char"/>
    <w:basedOn w:val="char0"/>
    <w:rPr>
      <w:rFonts w:ascii="Arial" w:hAnsi="Arial" w:eastAsia="Arial" w:cs="Arial"/>
      <w:sz w:val="40"/>
      <w:szCs w:val="40"/>
    </w:rPr>
  </w:style>
  <w:style w:type="character" w:styleId="char2" w:customStyle="1">
    <w:name w:val="Heading 2 Char"/>
    <w:basedOn w:val="char0"/>
    <w:rPr>
      <w:rFonts w:ascii="Arial" w:hAnsi="Arial" w:eastAsia="Arial" w:cs="Arial"/>
      <w:sz w:val="34"/>
    </w:rPr>
  </w:style>
  <w:style w:type="character" w:styleId="char3" w:customStyle="1">
    <w:name w:val="Heading 3 Char"/>
    <w:basedOn w:val="char0"/>
    <w:rPr>
      <w:rFonts w:ascii="Arial" w:hAnsi="Arial" w:eastAsia="Arial" w:cs="Arial"/>
      <w:sz w:val="30"/>
      <w:szCs w:val="30"/>
    </w:rPr>
  </w:style>
  <w:style w:type="character" w:styleId="char4" w:customStyle="1">
    <w:name w:val="Heading 4 Char"/>
    <w:basedOn w:val="char0"/>
    <w:rPr>
      <w:rFonts w:ascii="Arial" w:hAnsi="Arial" w:eastAsia="Arial" w:cs="Arial"/>
      <w:b/>
      <w:bCs/>
      <w:sz w:val="26"/>
      <w:szCs w:val="26"/>
    </w:rPr>
  </w:style>
  <w:style w:type="character" w:styleId="char5" w:customStyle="1">
    <w:name w:val="Heading 5 Char"/>
    <w:basedOn w:val="char0"/>
    <w:rPr>
      <w:rFonts w:ascii="Arial" w:hAnsi="Arial" w:eastAsia="Arial" w:cs="Arial"/>
      <w:b/>
      <w:bCs/>
      <w:sz w:val="24"/>
      <w:szCs w:val="24"/>
    </w:rPr>
  </w:style>
  <w:style w:type="character" w:styleId="char6" w:customStyle="1">
    <w:name w:val="Heading 6 Char"/>
    <w:basedOn w:val="char0"/>
    <w:rPr>
      <w:rFonts w:ascii="Arial" w:hAnsi="Arial" w:eastAsia="Arial" w:cs="Arial"/>
      <w:b/>
      <w:bCs/>
      <w:sz w:val="22"/>
      <w:szCs w:val="22"/>
    </w:rPr>
  </w:style>
  <w:style w:type="character" w:styleId="char7" w:customStyle="1">
    <w:name w:val="Heading 7 Char"/>
    <w:basedOn w:val="char0"/>
    <w:rPr>
      <w:rFonts w:ascii="Arial" w:hAnsi="Arial" w:eastAsia="Arial" w:cs="Arial"/>
      <w:b/>
      <w:bCs/>
      <w:i/>
      <w:iCs/>
      <w:sz w:val="22"/>
      <w:szCs w:val="22"/>
    </w:rPr>
  </w:style>
  <w:style w:type="character" w:styleId="char8" w:customStyle="1">
    <w:name w:val="Heading 8 Char"/>
    <w:basedOn w:val="char0"/>
    <w:rPr>
      <w:rFonts w:ascii="Arial" w:hAnsi="Arial" w:eastAsia="Arial" w:cs="Arial"/>
      <w:i/>
      <w:iCs/>
      <w:sz w:val="22"/>
      <w:szCs w:val="22"/>
    </w:rPr>
  </w:style>
  <w:style w:type="character" w:styleId="char9" w:customStyle="1">
    <w:name w:val="Heading 9 Char"/>
    <w:basedOn w:val="char0"/>
    <w:rPr>
      <w:rFonts w:ascii="Arial" w:hAnsi="Arial" w:eastAsia="Arial" w:cs="Arial"/>
      <w:i/>
      <w:iCs/>
      <w:sz w:val="21"/>
      <w:szCs w:val="21"/>
    </w:rPr>
  </w:style>
  <w:style w:type="character" w:styleId="char10" w:customStyle="1">
    <w:name w:val="Title Char"/>
    <w:basedOn w:val="char0"/>
    <w:rPr>
      <w:sz w:val="48"/>
      <w:szCs w:val="48"/>
    </w:rPr>
  </w:style>
  <w:style w:type="character" w:styleId="char11" w:customStyle="1">
    <w:name w:val="Subtitle Char"/>
    <w:basedOn w:val="char0"/>
    <w:rPr>
      <w:sz w:val="24"/>
      <w:szCs w:val="24"/>
    </w:rPr>
  </w:style>
  <w:style w:type="character" w:styleId="char12" w:customStyle="1">
    <w:name w:val="Quote Char"/>
    <w:rPr>
      <w:i/>
    </w:rPr>
  </w:style>
  <w:style w:type="character" w:styleId="char13" w:customStyle="1">
    <w:name w:val="Intense Quote Char"/>
    <w:rPr>
      <w:i/>
    </w:rPr>
  </w:style>
  <w:style w:type="character" w:styleId="char14" w:customStyle="1">
    <w:name w:val="Caption Char"/>
  </w:style>
  <w:style w:type="character" w:styleId="char15" w:customStyle="1">
    <w:name w:val="Footnote Text Char"/>
    <w:rPr>
      <w:sz w:val="18"/>
    </w:rPr>
  </w:style>
  <w:style w:type="character" w:styleId="char16" w:customStyle="1">
    <w:name w:val="Footnote Characters"/>
    <w:rPr>
      <w:vertAlign w:val="superscript"/>
    </w:rPr>
  </w:style>
  <w:style w:type="character" w:styleId="char17" w:customStyle="1">
    <w:name w:val="Footnote Anchor"/>
    <w:rPr>
      <w:vertAlign w:val="superscript"/>
    </w:rPr>
  </w:style>
  <w:style w:type="character" w:styleId="char18" w:customStyle="1">
    <w:name w:val="Endnote Text Char"/>
    <w:rPr>
      <w:sz w:val="20"/>
    </w:rPr>
  </w:style>
  <w:style w:type="character" w:styleId="char19" w:customStyle="1">
    <w:name w:val="Endnote Characters"/>
    <w:rPr>
      <w:vertAlign w:val="superscript"/>
    </w:rPr>
  </w:style>
  <w:style w:type="character" w:styleId="char20" w:customStyle="1">
    <w:name w:val="Endnote Anchor"/>
    <w:rPr>
      <w:vertAlign w:val="superscript"/>
    </w:rPr>
  </w:style>
  <w:style w:type="character" w:styleId="char21">
    <w:name w:val="Hyperlink"/>
    <w:basedOn w:val="char0"/>
    <w:rPr>
      <w:color w:val="0563c1"/>
      <w:u w:color="auto" w:val="single"/>
    </w:rPr>
  </w:style>
  <w:style w:type="character" w:styleId="char22" w:customStyle="1">
    <w:name w:val="Balloon Text Char"/>
    <w:basedOn w:val="char0"/>
    <w:rPr>
      <w:rFonts w:ascii="Segoe UI" w:hAnsi="Segoe UI" w:eastAsia="Calibri" w:cs="Segoe UI"/>
      <w:sz w:val="18"/>
      <w:szCs w:val="18"/>
      <w:lang w:val="en-us"/>
    </w:rPr>
  </w:style>
  <w:style w:type="character" w:styleId="char23" w:customStyle="1">
    <w:name w:val="No Spacing Char"/>
  </w:style>
  <w:style w:type="character" w:styleId="char24" w:customStyle="1">
    <w:name w:val="Header Char"/>
    <w:basedOn w:val="char0"/>
    <w:rPr>
      <w:rFonts w:ascii="Calibri" w:hAnsi="Calibri" w:eastAsia="Calibri" w:cs="Times New Roman"/>
      <w:lang w:val="en-us"/>
    </w:rPr>
  </w:style>
  <w:style w:type="character" w:styleId="char25" w:customStyle="1">
    <w:name w:val="Footer Char"/>
    <w:basedOn w:val="char0"/>
    <w:rPr>
      <w:rFonts w:ascii="Calibri" w:hAnsi="Calibri" w:eastAsia="Calibri" w:cs="Times New Roman"/>
      <w:lang w:val="en-us"/>
    </w:rPr>
  </w:style>
  <w:style w:type="character" w:styleId="char26" w:customStyle="1">
    <w:name w:val="Nerazrešena omemba1"/>
    <w:basedOn w:val="char0"/>
    <w:rPr>
      <w:color w:val="605e5c"/>
      <w:shd w:val="clear" w:fill="e1dfdd"/>
    </w:rPr>
  </w:style>
  <w:style w:type="character" w:styleId="char27" w:customStyle="1">
    <w:name w:val="annotation reference"/>
    <w:basedOn w:val="char0"/>
    <w:rPr>
      <w:sz w:val="16"/>
      <w:szCs w:val="16"/>
    </w:rPr>
  </w:style>
  <w:style w:type="character" w:styleId="char28" w:customStyle="1">
    <w:name w:val="Comment Text Char"/>
    <w:basedOn w:val="char0"/>
    <w:rPr>
      <w:rFonts w:ascii="Calibri" w:hAnsi="Calibri" w:eastAsia="Calibri" w:cs="Times New Roman"/>
      <w:sz w:val="20"/>
      <w:szCs w:val="20"/>
      <w:lang w:val="en-us"/>
    </w:rPr>
  </w:style>
  <w:style w:type="character" w:styleId="char29" w:customStyle="1">
    <w:name w:val="Comment Subject Char"/>
    <w:basedOn w:val="char28"/>
    <w:rPr>
      <w:rFonts w:ascii="Calibri" w:hAnsi="Calibri" w:eastAsia="Calibri" w:cs="Times New Roman"/>
      <w:b/>
      <w:bCs/>
      <w:sz w:val="20"/>
      <w:szCs w:val="20"/>
      <w:lang w:val="en-us"/>
    </w:rPr>
  </w:style>
  <w:style w:type="character" w:styleId="char30" w:customStyle="1">
    <w:name w:val="Numbering Symbols"/>
  </w:style>
  <w:style w:type="character" w:styleId="char31" w:customStyle="1">
    <w:name w:val="Line Numbering"/>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rev.1036</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Oberski Ljubomir</dc:creator>
  <cp:keywords/>
  <dc:description/>
  <cp:lastModifiedBy>LNX</cp:lastModifiedBy>
  <cp:revision>70</cp:revision>
  <dcterms:created xsi:type="dcterms:W3CDTF">2021-08-30T15:46:00Z</dcterms:created>
  <dcterms:modified xsi:type="dcterms:W3CDTF">2022-01-16T12:23:31Z</dcterms:modified>
</cp:coreProperties>
</file>