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after="0" w:line="240" w:lineRule="auto"/>
        <w:jc w:val="center"/>
        <w:rPr>
          <w:rFonts w:ascii="Verdana" w:hAnsi="Verdana"/>
          <w:b/>
          <w:sz w:val="28"/>
          <w:szCs w:val="28"/>
          <w:lang w:val="sl-si"/>
        </w:rPr>
      </w:pPr>
      <w:r>
        <w:rPr>
          <w:rFonts w:ascii="Verdana" w:hAnsi="Verdana"/>
          <w:b/>
          <w:sz w:val="28"/>
          <w:szCs w:val="28"/>
          <w:lang w:val="sl-si"/>
        </w:rPr>
        <w:t>NAVODILA PONUDNIKOM</w:t>
      </w:r>
    </w:p>
    <w:p>
      <w:pPr>
        <w:spacing w:after="0" w:line="240" w:lineRule="auto"/>
        <w:rPr>
          <w:rFonts w:ascii="Verdana" w:hAnsi="Verdana"/>
          <w:sz w:val="20"/>
          <w:szCs w:val="20"/>
          <w:lang w:val="sl-si"/>
        </w:rPr>
      </w:pPr>
      <w:r>
        <w:rPr>
          <w:rFonts w:ascii="Verdana" w:hAnsi="Verdana"/>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Style w:val="TableNormal"/>
        <w:name w:val="Table3"/>
        <w:tabOrder w:val="0"/>
        <w:jc w:val="center"/>
        <w:tblInd w:w="0" w:type="dxa"/>
        <w:tblW w:w="9720" w:type="dxa"/>
        <w:tblLook w:val="04A0" w:firstRow="1" w:lastRow="0" w:firstColumn="1" w:lastColumn="0" w:noHBand="0" w:noVBand="1"/>
      </w:tblPr>
      <w:tblGrid>
        <w:gridCol w:w="3340"/>
        <w:gridCol w:w="6380"/>
      </w:tblGrid>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Naročnik</w:t>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Splošna bolnišnica dr. Jožeta Potrča Ptuj</w:t>
            </w:r>
          </w:p>
          <w:p>
            <w:pPr>
              <w:spacing w:after="0" w:line="240" w:lineRule="auto"/>
              <w:widowControl w:val="0"/>
              <w:rPr>
                <w:rFonts w:ascii="Verdana" w:hAnsi="Verdana"/>
                <w:b/>
                <w:sz w:val="20"/>
                <w:szCs w:val="20"/>
                <w:lang w:val="sl-si"/>
              </w:rPr>
            </w:pPr>
            <w:r>
              <w:rPr>
                <w:rFonts w:ascii="Verdana" w:hAnsi="Verdana"/>
                <w:b/>
                <w:sz w:val="20"/>
                <w:szCs w:val="20"/>
                <w:lang w:val="sl-si"/>
              </w:rPr>
              <w:t>Potrčeva cesta 23</w:t>
            </w:r>
          </w:p>
          <w:p>
            <w:pPr>
              <w:spacing w:after="0" w:line="240" w:lineRule="auto"/>
              <w:widowControl w:val="0"/>
              <w:rPr>
                <w:rFonts w:ascii="Verdana" w:hAnsi="Verdana"/>
                <w:b/>
                <w:sz w:val="20"/>
                <w:szCs w:val="20"/>
                <w:lang w:val="sl-si"/>
              </w:rPr>
            </w:pPr>
            <w:r>
              <w:rPr>
                <w:rFonts w:ascii="Verdana" w:hAnsi="Verdana"/>
                <w:b/>
                <w:sz w:val="20"/>
                <w:szCs w:val="20"/>
                <w:lang w:val="sl-si"/>
              </w:rPr>
              <w:t>2250 Ptuj</w:t>
            </w:r>
          </w:p>
        </w:tc>
      </w:tr>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Oznaka javnega naročila</w:t>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01.6-60/1-22</w:t>
            </w:r>
          </w:p>
        </w:tc>
      </w:tr>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Predmet javnega naročila</w:t>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sz w:val="20"/>
                <w:szCs w:val="20"/>
                <w:lang w:val="sl-si"/>
              </w:rPr>
              <w:t>Uvedba novega, v slovenski zdravstveni prostor integriranega informacijskega sistema za podporo zdravstvu</w:t>
            </w:r>
            <w:r>
              <w:rPr>
                <w:rFonts w:ascii="Verdana" w:hAnsi="Verdana"/>
                <w:b/>
                <w:sz w:val="20"/>
                <w:szCs w:val="20"/>
                <w:lang w:val="sl-si"/>
              </w:rPr>
            </w:r>
          </w:p>
        </w:tc>
      </w:tr>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Postopek</w:t>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Odprti postopek</w:t>
            </w:r>
          </w:p>
        </w:tc>
      </w:tr>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Podlaga (člen) po Zakonu o javnem naročanju</w:t>
            </w:r>
          </w:p>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40. člen</w:t>
            </w:r>
          </w:p>
        </w:tc>
      </w:tr>
      <w:tr>
        <w:trPr>
          <w:tblHeader w:val="0"/>
          <w:cantSplit w:val="0"/>
          <w:trHeight w:val="20" w:hRule="atLeast"/>
        </w:trPr>
        <w:tc>
          <w:tcPr>
            <w:tcW w:w="334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Opis (potek) postopka in trajanje naročila</w:t>
            </w:r>
          </w:p>
        </w:tc>
        <w:tc>
          <w:tcPr>
            <w:tcW w:w="63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Nakup licenc, namestitev, uvedba in vzdrževanje v slovenski zdravstveni prostor integriranega, informacijskega sistema z nadgradnjami ter uvajanje in podpora uporabnikom.</w:t>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PREDMET JAVNEGA NAROČILA</w:t>
      </w:r>
    </w:p>
    <w:tbl>
      <w:tblPr>
        <w:tblStyle w:val="TableNormal"/>
        <w:name w:val="Table4"/>
        <w:tabOrder w:val="0"/>
        <w:jc w:val="center"/>
        <w:tblInd w:w="0" w:type="dxa"/>
        <w:tblW w:w="9698" w:type="dxa"/>
        <w:tblLook w:val="04A0" w:firstRow="1" w:lastRow="0" w:firstColumn="1" w:lastColumn="0" w:noHBand="0" w:noVBand="1"/>
      </w:tblPr>
      <w:tblGrid>
        <w:gridCol w:w="3265"/>
        <w:gridCol w:w="1701"/>
        <w:gridCol w:w="2361"/>
        <w:gridCol w:w="2371"/>
      </w:tblGrid>
      <w:tr>
        <w:trPr>
          <w:tblHeader w:val="0"/>
          <w:cantSplit w:val="0"/>
          <w:trHeight w:val="20" w:hRule="atLeast"/>
        </w:trPr>
        <w:tc>
          <w:tcPr>
            <w:tcW w:w="326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Vrsta</w:t>
            </w:r>
          </w:p>
        </w:tc>
        <w:tc>
          <w:tcPr>
            <w:tcW w:w="6433" w:type="dxa"/>
            <w:gridSpan w:val="3"/>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tabs defTabSz="720">
                <w:tab w:val="left" w:pos="1791" w:leader="none"/>
              </w:tabs>
              <w:rPr>
                <w:rFonts w:ascii="Verdana" w:hAnsi="Verdana"/>
                <w:sz w:val="20"/>
                <w:szCs w:val="20"/>
                <w:lang w:val="sl-si"/>
              </w:rPr>
            </w:pPr>
            <w:r>
              <w:rPr>
                <w:rFonts w:ascii="Verdana" w:hAnsi="Verdana"/>
                <w:sz w:val="20"/>
                <w:szCs w:val="20"/>
                <w:lang w:val="sl-si"/>
              </w:rPr>
              <w:t>Storitev</w:t>
            </w:r>
          </w:p>
        </w:tc>
      </w:tr>
      <w:tr>
        <w:trPr>
          <w:tblHeader w:val="0"/>
          <w:cantSplit w:val="0"/>
          <w:trHeight w:val="20" w:hRule="atLeast"/>
        </w:trPr>
        <w:tc>
          <w:tcPr>
            <w:tcW w:w="326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Delitev naročila</w:t>
            </w:r>
          </w:p>
        </w:tc>
        <w:tc>
          <w:tcPr>
            <w:tcW w:w="6433" w:type="dxa"/>
            <w:gridSpan w:val="3"/>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Javno naročilo je celovito</w:t>
            </w:r>
          </w:p>
        </w:tc>
      </w:tr>
      <w:tr>
        <w:trPr>
          <w:tblHeader w:val="0"/>
          <w:cantSplit w:val="0"/>
          <w:trHeight w:val="20" w:hRule="atLeast"/>
        </w:trPr>
        <w:tc>
          <w:tcPr>
            <w:tcW w:w="9698" w:type="dxa"/>
            <w:gridSpan w:val="4"/>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Finančno zavarovanje resnosti ponudbe</w:t>
            </w:r>
          </w:p>
        </w:tc>
      </w:tr>
      <w:tr>
        <w:trPr>
          <w:tblHeader w:val="0"/>
          <w:cantSplit w:val="0"/>
          <w:trHeight w:val="20" w:hRule="atLeast"/>
        </w:trPr>
        <w:tc>
          <w:tcPr>
            <w:tcW w:w="4966" w:type="dxa"/>
            <w:gridSpan w:val="2"/>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Vrsta zavarovanja</w:t>
            </w:r>
          </w:p>
        </w:tc>
        <w:tc>
          <w:tcPr>
            <w:tcW w:w="2361"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Vrednost in valuta</w:t>
            </w:r>
          </w:p>
        </w:tc>
        <w:tc>
          <w:tcPr>
            <w:tcW w:w="2371"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Veljavnost (od / do)</w:t>
            </w:r>
          </w:p>
        </w:tc>
      </w:tr>
      <w:tr>
        <w:trPr>
          <w:tblHeader w:val="0"/>
          <w:cantSplit w:val="0"/>
          <w:trHeight w:val="20" w:hRule="atLeast"/>
        </w:trPr>
        <w:tc>
          <w:tcPr>
            <w:tcW w:w="4966" w:type="dxa"/>
            <w:gridSpan w:val="2"/>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pPr>
              <w:spacing w:after="120" w:line="240" w:lineRule="auto"/>
              <w:jc w:val="both"/>
              <w:widowControl w:val="0"/>
              <w:rPr>
                <w:rFonts w:ascii="Verdana" w:hAnsi="Verdana"/>
                <w:sz w:val="20"/>
                <w:szCs w:val="20"/>
                <w:lang w:val="sl-si"/>
              </w:rPr>
            </w:pPr>
            <w:r>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pPr>
              <w:spacing w:after="0" w:line="240" w:lineRule="auto"/>
              <w:jc w:val="both"/>
              <w:widowControl w:val="0"/>
              <w:rPr>
                <w:rFonts w:ascii="Verdana" w:hAnsi="Verdana"/>
                <w:sz w:val="20"/>
                <w:szCs w:val="20"/>
                <w:lang w:val="sl-si"/>
              </w:rPr>
            </w:pPr>
            <w:r>
              <w:rPr>
                <w:rFonts w:ascii="Verdana" w:hAnsi="Verdana"/>
                <w:sz w:val="20"/>
                <w:szCs w:val="20"/>
                <w:lang w:val="sl-si"/>
              </w:rPr>
              <w:t>Finančno zavarovanje za resnost ponudbe mora biti v ponudbi predloženo na enega od sledečih načinov:</w:t>
            </w:r>
          </w:p>
          <w:p>
            <w:pPr>
              <w:spacing w:after="120" w:line="240" w:lineRule="auto"/>
              <w:jc w:val="both"/>
              <w:widowControl w:val="0"/>
              <w:rPr>
                <w:rFonts w:ascii="Verdana" w:hAnsi="Verdana"/>
                <w:sz w:val="20"/>
                <w:szCs w:val="20"/>
                <w:lang w:val="sl-si"/>
              </w:rPr>
            </w:pPr>
            <w:r>
              <w:rPr>
                <w:rFonts w:ascii="Verdana" w:hAnsi="Verdana"/>
                <w:sz w:val="20"/>
                <w:szCs w:val="20"/>
                <w:lang w:val="sl-si"/>
              </w:rPr>
              <w:t>1. kot varno elektronsko podpisan dokument, podpisan s kvalificiranim digitalnim potrdilom garanta, ali</w:t>
            </w:r>
          </w:p>
          <w:p>
            <w:pPr>
              <w:spacing w:after="120" w:line="240" w:lineRule="auto"/>
              <w:jc w:val="both"/>
              <w:widowControl w:val="0"/>
              <w:rPr>
                <w:rFonts w:ascii="Verdana" w:hAnsi="Verdana"/>
                <w:sz w:val="20"/>
                <w:szCs w:val="20"/>
                <w:lang w:val="sl-si"/>
              </w:rPr>
            </w:pPr>
            <w:r>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pPr>
              <w:spacing w:after="120" w:line="240" w:lineRule="auto"/>
              <w:jc w:val="both"/>
              <w:widowControl w:val="0"/>
              <w:rPr>
                <w:rFonts w:ascii="Verdana" w:hAnsi="Verdana"/>
                <w:sz w:val="20"/>
                <w:szCs w:val="20"/>
                <w:lang w:val="sl-si"/>
              </w:rPr>
            </w:pPr>
            <w:r>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pPr>
              <w:spacing w:after="0" w:line="240" w:lineRule="auto"/>
              <w:jc w:val="both"/>
              <w:widowControl w:val="0"/>
              <w:rPr>
                <w:rFonts w:ascii="Verdana" w:hAnsi="Verdana"/>
                <w:highlight w:val="lightGray"/>
                <w:sz w:val="20"/>
                <w:szCs w:val="20"/>
                <w:lang w:val="sl-si"/>
              </w:rPr>
            </w:pPr>
            <w:r>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r>
              <w:rPr>
                <w:rFonts w:ascii="Verdana" w:hAnsi="Verdana"/>
                <w:highlight w:val="lightGray"/>
                <w:sz w:val="20"/>
                <w:szCs w:val="20"/>
                <w:lang w:val="sl-si"/>
              </w:rPr>
            </w:r>
          </w:p>
        </w:tc>
        <w:tc>
          <w:tcPr>
            <w:tcW w:w="2361"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EUR</w:t>
            </w:r>
          </w:p>
          <w:p>
            <w:pPr>
              <w:spacing w:after="0" w:line="240" w:lineRule="auto"/>
              <w:jc w:val="center"/>
              <w:widowControl w:val="0"/>
              <w:rPr>
                <w:rFonts w:ascii="Verdana" w:hAnsi="Verdana"/>
                <w:i/>
                <w:sz w:val="18"/>
                <w:szCs w:val="14"/>
              </w:rPr>
            </w:pPr>
            <w:r>
              <w:rPr>
                <w:rFonts w:ascii="Verdana" w:hAnsi="Verdana"/>
                <w:i/>
                <w:sz w:val="18"/>
                <w:szCs w:val="14"/>
                <w:lang w:val="sl-si"/>
              </w:rPr>
              <w:t>30.000</w:t>
            </w:r>
            <w:r>
              <w:rPr>
                <w:rFonts w:ascii="Verdana" w:hAnsi="Verdana"/>
                <w:i/>
                <w:sz w:val="18"/>
                <w:szCs w:val="14"/>
              </w:rPr>
            </w:r>
          </w:p>
        </w:tc>
        <w:tc>
          <w:tcPr>
            <w:tcW w:w="2371"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Od roka za prejem ponudbe z veljavnostjo treh mesecev</w:t>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Style w:val="TableNormal"/>
        <w:name w:val="Table5"/>
        <w:tabOrder w:val="0"/>
        <w:jc w:val="center"/>
        <w:tblInd w:w="0" w:type="dxa"/>
        <w:tblW w:w="9696" w:type="dxa"/>
        <w:tblLook w:val="04A0" w:firstRow="1" w:lastRow="0" w:firstColumn="1" w:lastColumn="0" w:noHBand="0" w:noVBand="1"/>
      </w:tblPr>
      <w:tblGrid>
        <w:gridCol w:w="3327"/>
        <w:gridCol w:w="1409"/>
        <w:gridCol w:w="4960"/>
      </w:tblGrid>
      <w:tr>
        <w:trPr>
          <w:tblHeader w:val="0"/>
          <w:cantSplit w:val="0"/>
          <w:trHeight w:val="20" w:hRule="atLeast"/>
        </w:trPr>
        <w:tc>
          <w:tcPr>
            <w:tcW w:w="9696" w:type="dxa"/>
            <w:gridSpan w:val="3"/>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Dokumentacijo v zvezi z oddajo javnega naročila sestavljajo spodaj navedeni obrazci</w:t>
            </w:r>
          </w:p>
        </w:tc>
      </w:tr>
      <w:tr>
        <w:trPr>
          <w:tblHeader w:val="0"/>
          <w:cantSplit w:val="0"/>
          <w:trHeight w:val="20" w:hRule="atLeast"/>
        </w:trPr>
        <w:tc>
          <w:tcPr>
            <w:tcW w:w="9696" w:type="dxa"/>
            <w:gridSpan w:val="3"/>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Navodila ponudnikom;</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Reference, kadri in ostali pogoji;;</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ESPD;</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Ponudba</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Pogodba;</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SLA;</w:t>
            </w:r>
          </w:p>
          <w:p>
            <w:pPr>
              <w:numPr>
                <w:ilvl w:val="0"/>
                <w:numId w:val="5"/>
              </w:numPr>
              <w:ind w:left="0" w:firstLine="0"/>
              <w:spacing w:after="120" w:line="240" w:lineRule="auto"/>
              <w:jc w:val="both"/>
              <w:widowControl w:val="0"/>
              <w:rPr>
                <w:rFonts w:ascii="Verdana" w:hAnsi="Verdana"/>
                <w:sz w:val="20"/>
                <w:szCs w:val="20"/>
                <w:lang w:val="sl-si"/>
              </w:rPr>
            </w:pPr>
            <w:r>
              <w:rPr>
                <w:rFonts w:ascii="Verdana" w:hAnsi="Verdana"/>
                <w:sz w:val="20"/>
                <w:szCs w:val="20"/>
                <w:lang w:val="sl-si"/>
              </w:rPr>
              <w:t>ePRO – Specifikacije;</w:t>
            </w:r>
          </w:p>
          <w:p>
            <w:pPr>
              <w:numPr>
                <w:ilvl w:val="0"/>
                <w:numId w:val="5"/>
              </w:numPr>
              <w:ind w:left="0" w:firstLine="0"/>
              <w:spacing w:after="120" w:line="240" w:lineRule="auto"/>
              <w:jc w:val="both"/>
              <w:rPr>
                <w:rFonts w:ascii="Verdana" w:hAnsi="Verdana"/>
                <w:sz w:val="20"/>
                <w:szCs w:val="20"/>
                <w:lang w:val="sl-si"/>
              </w:rPr>
            </w:pPr>
            <w:r>
              <w:rPr>
                <w:rFonts w:ascii="Verdana" w:hAnsi="Verdana"/>
                <w:sz w:val="20"/>
                <w:szCs w:val="20"/>
                <w:lang w:val="sl-si"/>
              </w:rPr>
              <w:t>ePRO – Zahtevek za podatke iz kazenske evidence;</w:t>
            </w:r>
          </w:p>
          <w:p>
            <w:pPr>
              <w:spacing w:after="120" w:line="240" w:lineRule="auto"/>
              <w:jc w:val="both"/>
              <w:rPr>
                <w:rFonts w:ascii="Verdana" w:hAnsi="Verdana"/>
                <w:sz w:val="20"/>
                <w:szCs w:val="20"/>
                <w:lang w:val="sl-si"/>
              </w:rPr>
            </w:pPr>
            <w:r>
              <w:rPr>
                <w:rFonts w:ascii="Verdana" w:hAnsi="Verdana"/>
                <w:sz w:val="20"/>
                <w:szCs w:val="20"/>
                <w:lang w:val="sl-si"/>
              </w:rPr>
            </w:r>
          </w:p>
          <w:p>
            <w:pPr>
              <w:numPr>
                <w:ilvl w:val="0"/>
                <w:numId w:val="5"/>
              </w:numPr>
              <w:ind w:left="0" w:firstLine="0"/>
              <w:spacing w:after="0" w:line="240" w:lineRule="auto"/>
              <w:jc w:val="both"/>
              <w:widowControl w:val="0"/>
              <w:rPr>
                <w:rFonts w:ascii="Verdana" w:hAnsi="Verdana"/>
                <w:sz w:val="20"/>
                <w:szCs w:val="20"/>
                <w:lang w:val="sl-si"/>
              </w:rPr>
            </w:pPr>
            <w:r>
              <w:rPr>
                <w:rFonts w:ascii="Verdana" w:hAnsi="Verdana"/>
                <w:sz w:val="20"/>
                <w:szCs w:val="20"/>
                <w:lang w:val="sl-si"/>
              </w:rPr>
              <w:t>sestavni del dokumentacije v zvezi z oddajo javnega naročila so tudi vse morebitne spremembe, dopolnitve, popravki dokumentacije ter dodatna pojasnila.</w:t>
            </w:r>
          </w:p>
        </w:tc>
      </w:tr>
      <w:tr>
        <w:trPr>
          <w:tblHeader w:val="0"/>
          <w:cantSplit w:val="0"/>
          <w:trHeight w:val="20" w:hRule="atLeast"/>
        </w:trPr>
        <w:tc>
          <w:tcPr>
            <w:tcW w:w="9696" w:type="dxa"/>
            <w:gridSpan w:val="3"/>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Pridobitev dokumentacije v zvezi z oddajo javnega naročila</w:t>
            </w:r>
          </w:p>
        </w:tc>
      </w:tr>
      <w:tr>
        <w:trPr>
          <w:tblHeader w:val="0"/>
          <w:cantSplit w:val="0"/>
          <w:trHeight w:val="20" w:hRule="atLeast"/>
        </w:trPr>
        <w:tc>
          <w:tcPr>
            <w:tcW w:w="4736" w:type="dxa"/>
            <w:gridSpan w:val="2"/>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Dokumentacija v zvezi z oddajo javnega naročila je na voljo na internetnem naslovu:</w:t>
            </w:r>
          </w:p>
        </w:tc>
        <w:tc>
          <w:tcPr>
            <w:tcW w:w="496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Cena in način plačila</w:t>
            </w:r>
          </w:p>
        </w:tc>
      </w:tr>
      <w:tr>
        <w:trPr>
          <w:tblHeader w:val="0"/>
          <w:cantSplit w:val="0"/>
          <w:trHeight w:val="20" w:hRule="atLeast"/>
        </w:trPr>
        <w:tc>
          <w:tcPr>
            <w:tcW w:w="4736" w:type="dxa"/>
            <w:gridSpan w:val="2"/>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hyperlink r:id="rId8" w:history="1">
              <w:r>
                <w:rPr>
                  <w:rStyle w:val="char20"/>
                  <w:rFonts w:ascii="Verdana" w:hAnsi="Verdana"/>
                  <w:sz w:val="20"/>
                  <w:szCs w:val="20"/>
                  <w:lang w:val="sl-si"/>
                </w:rPr>
                <w:t>www.enarocanje.si</w:t>
              </w:r>
            </w:hyperlink>
          </w:p>
        </w:tc>
        <w:tc>
          <w:tcPr>
            <w:tcW w:w="496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Dokumentacija je na voljo brezplačno.</w:t>
            </w:r>
          </w:p>
        </w:tc>
      </w:tr>
      <w:tr>
        <w:trPr>
          <w:tblHeader w:val="0"/>
          <w:cantSplit w:val="0"/>
          <w:trHeight w:val="20" w:hRule="atLeast"/>
        </w:trPr>
        <w:tc>
          <w:tcPr>
            <w:tcW w:w="9696" w:type="dxa"/>
            <w:gridSpan w:val="3"/>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Dodatna pojasnila</w:t>
            </w:r>
          </w:p>
        </w:tc>
      </w:tr>
      <w:tr>
        <w:trPr>
          <w:tblHeader w:val="0"/>
          <w:cantSplit w:val="0"/>
          <w:trHeight w:val="20" w:hRule="atLeast"/>
        </w:trPr>
        <w:tc>
          <w:tcPr>
            <w:tcW w:w="332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Kontaktni podatki za dodatna pojasnila</w:t>
            </w:r>
          </w:p>
        </w:tc>
        <w:tc>
          <w:tcPr>
            <w:tcW w:w="6369" w:type="dxa"/>
            <w:gridSpan w:val="2"/>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 xml:space="preserve">Ponudniki lahko zastavljajo vprašanja preko Portala javnih naročil </w:t>
            </w:r>
            <w:hyperlink r:id="rId9" w:history="1">
              <w:r>
                <w:rPr>
                  <w:rStyle w:val="char20"/>
                  <w:rFonts w:ascii="Verdana" w:hAnsi="Verdana"/>
                  <w:sz w:val="20"/>
                  <w:szCs w:val="20"/>
                  <w:lang w:val="sl-si"/>
                </w:rPr>
                <w:t>www.enarocanje.si</w:t>
              </w:r>
            </w:hyperlink>
            <w:r>
              <w:rPr>
                <w:rFonts w:ascii="Verdana" w:hAnsi="Verdana"/>
                <w:sz w:val="20"/>
                <w:szCs w:val="20"/>
                <w:lang w:val="sl-si"/>
              </w:rPr>
              <w:t xml:space="preserve"> pri objavi predmetnega javnega naročila.</w:t>
            </w: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trPr>
          <w:tblHeader w:val="0"/>
          <w:cantSplit w:val="0"/>
          <w:trHeight w:val="20" w:hRule="atLeast"/>
        </w:trPr>
        <w:tc>
          <w:tcPr>
            <w:tcW w:w="332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Rok za postavitev vprašanj</w:t>
            </w:r>
          </w:p>
        </w:tc>
        <w:tc>
          <w:tcPr>
            <w:tcW w:w="6369" w:type="dxa"/>
            <w:gridSpan w:val="2"/>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b/>
                <w:sz w:val="20"/>
                <w:szCs w:val="20"/>
                <w:lang w:val="sl-si"/>
              </w:rPr>
            </w:pPr>
            <w:r>
              <w:rPr>
                <w:rFonts w:ascii="Verdana" w:hAnsi="Verdana"/>
                <w:b/>
                <w:sz w:val="20"/>
                <w:szCs w:val="20"/>
                <w:lang w:val="sl-si"/>
              </w:rPr>
              <w:t xml:space="preserve">31.01.2022 do </w:t>
            </w:r>
            <w:r>
              <w:rPr>
                <w:rFonts w:ascii="Verdana" w:hAnsi="Verdana"/>
                <w:b/>
                <w:sz w:val="20"/>
                <w:szCs w:val="20"/>
              </w:rPr>
              <w:t>12:00</w:t>
            </w:r>
            <w:r>
              <w:rPr>
                <w:rFonts w:ascii="Verdana" w:hAnsi="Verdana"/>
                <w:b/>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 xml:space="preserve">Naročnik bo na vprašanja odgovoril najkasneje do </w:t>
            </w:r>
            <w:r>
              <w:rPr>
                <w:rFonts w:ascii="Verdana" w:hAnsi="Verdana"/>
                <w:sz w:val="20"/>
                <w:szCs w:val="20"/>
              </w:rPr>
              <w:t>04.02.2022</w:t>
            </w:r>
            <w:r>
              <w:rPr>
                <w:rFonts w:ascii="Verdana" w:hAnsi="Verdana"/>
                <w:sz w:val="20"/>
                <w:szCs w:val="20"/>
                <w:lang w:val="sl-si"/>
              </w:rPr>
              <w:t xml:space="preserve"> do 16:00 preko Portala javnih naročil </w:t>
            </w:r>
            <w:hyperlink r:id="rId9" w:history="1">
              <w:r>
                <w:rPr>
                  <w:rStyle w:val="char20"/>
                  <w:rFonts w:ascii="Verdana" w:hAnsi="Verdana"/>
                  <w:sz w:val="20"/>
                  <w:szCs w:val="20"/>
                  <w:lang w:val="sl-si"/>
                </w:rPr>
                <w:t>www.enarocanje.si</w:t>
              </w:r>
            </w:hyperlink>
            <w:r>
              <w:rPr>
                <w:rFonts w:ascii="Verdana" w:hAnsi="Verdana"/>
                <w:sz w:val="20"/>
                <w:szCs w:val="20"/>
                <w:lang w:val="sl-si"/>
              </w:rPr>
              <w:t xml:space="preserve"> pri objavi predmetnega javnega naročila.</w:t>
            </w:r>
            <w:r>
              <w:rPr>
                <w:rFonts w:ascii="Verdana" w:hAnsi="Verdana"/>
                <w:sz w:val="20"/>
                <w:szCs w:val="20"/>
                <w:lang w:val="sl-si"/>
              </w:rPr>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PONUDBA</w:t>
      </w:r>
    </w:p>
    <w:tbl>
      <w:tblPr>
        <w:tblStyle w:val="TableNormal"/>
        <w:name w:val="Table6"/>
        <w:tabOrder w:val="0"/>
        <w:jc w:val="center"/>
        <w:tblInd w:w="0" w:type="dxa"/>
        <w:tblW w:w="9694" w:type="dxa"/>
        <w:tblLook w:val="04A0" w:firstRow="1" w:lastRow="0" w:firstColumn="1" w:lastColumn="0" w:noHBand="0" w:noVBand="1"/>
      </w:tblPr>
      <w:tblGrid>
        <w:gridCol w:w="9694"/>
      </w:tblGrid>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Ponudba mora vsebovati vse spodaj naštete ustrezno izpolnjene obrazce in ostale zahtevane dokumente</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numPr>
                <w:ilvl w:val="0"/>
                <w:numId w:val="3"/>
              </w:numPr>
              <w:ind w:left="357" w:hanging="357"/>
              <w:spacing w:after="120" w:line="240" w:lineRule="auto"/>
              <w:jc w:val="both"/>
              <w:widowControl w:val="0"/>
              <w:rPr>
                <w:rFonts w:ascii="Verdana" w:hAnsi="Verdana"/>
                <w:sz w:val="20"/>
                <w:szCs w:val="20"/>
                <w:lang w:val="sl-si"/>
              </w:rPr>
            </w:pPr>
            <w:r>
              <w:rPr>
                <w:rFonts w:ascii="Verdana" w:hAnsi="Verdana"/>
                <w:b/>
                <w:sz w:val="20"/>
                <w:szCs w:val="20"/>
                <w:lang w:val="sl-si"/>
              </w:rPr>
              <w:t>izpolnjen obrazec ESPD</w:t>
            </w:r>
            <w:r>
              <w:rPr>
                <w:rFonts w:ascii="Verdana" w:hAnsi="Verdana"/>
                <w:sz w:val="20"/>
                <w:szCs w:val="20"/>
                <w:lang w:val="sl-si"/>
              </w:rPr>
              <w:t xml:space="preserve"> (za vsak gospodarski subjekt, ki bo vključen v izvedbo javnega naročila);</w:t>
            </w:r>
          </w:p>
          <w:p>
            <w:pPr>
              <w:numPr>
                <w:ilvl w:val="0"/>
                <w:numId w:val="3"/>
              </w:numPr>
              <w:ind w:left="357" w:hanging="357"/>
              <w:spacing w:after="120" w:line="240" w:lineRule="auto"/>
              <w:jc w:val="both"/>
              <w:widowControl w:val="0"/>
              <w:rPr>
                <w:rFonts w:ascii="Verdana" w:hAnsi="Verdana"/>
                <w:sz w:val="20"/>
                <w:szCs w:val="20"/>
                <w:lang w:val="sl-si"/>
              </w:rPr>
            </w:pPr>
            <w:r>
              <w:rPr>
                <w:rFonts w:ascii="Verdana" w:hAnsi="Verdana"/>
                <w:b/>
                <w:sz w:val="20"/>
                <w:szCs w:val="20"/>
                <w:lang w:val="sl-si"/>
              </w:rPr>
              <w:t xml:space="preserve">izpolnjen obrazec ePRO - </w:t>
            </w:r>
            <w:r>
              <w:rPr>
                <w:rFonts w:ascii="Verdana" w:hAnsi="Verdana"/>
                <w:b/>
                <w:bCs/>
                <w:sz w:val="20"/>
                <w:szCs w:val="20"/>
                <w:lang w:val="sl-si"/>
              </w:rPr>
              <w:t>Reference, kadri in ostali pogoji</w:t>
            </w:r>
            <w:r>
              <w:rPr>
                <w:rFonts w:ascii="Verdana" w:hAnsi="Verdana"/>
                <w:b/>
                <w:sz w:val="20"/>
                <w:szCs w:val="20"/>
                <w:lang w:val="sl-si"/>
              </w:rPr>
              <w:t xml:space="preserve"> </w:t>
            </w:r>
            <w:r>
              <w:rPr>
                <w:rFonts w:ascii="Verdana" w:hAnsi="Verdana"/>
                <w:sz w:val="20"/>
                <w:szCs w:val="20"/>
                <w:lang w:val="sl-si"/>
              </w:rPr>
              <w:t>(za vsak gospodarski subjekt, ki bo vključen v izvedbo javnega naročila);</w:t>
            </w:r>
          </w:p>
          <w:p>
            <w:pPr>
              <w:numPr>
                <w:ilvl w:val="0"/>
                <w:numId w:val="3"/>
              </w:numPr>
              <w:ind w:left="357" w:hanging="357"/>
              <w:spacing w:after="120" w:line="240" w:lineRule="auto"/>
              <w:jc w:val="both"/>
              <w:widowControl w:val="0"/>
              <w:rPr>
                <w:rFonts w:ascii="Verdana" w:hAnsi="Verdana"/>
                <w:b/>
                <w:bCs/>
                <w:sz w:val="20"/>
                <w:szCs w:val="20"/>
              </w:rPr>
            </w:pPr>
            <w:r>
              <w:rPr>
                <w:rFonts w:ascii="Verdana" w:hAnsi="Verdana"/>
                <w:b/>
                <w:sz w:val="20"/>
                <w:szCs w:val="20"/>
                <w:lang w:val="sl-si"/>
              </w:rPr>
              <w:t>izpolnjen obrazec ePRO</w:t>
            </w:r>
            <w:r>
              <w:rPr>
                <w:rFonts w:ascii="Verdana" w:hAnsi="Verdana"/>
                <w:sz w:val="20"/>
                <w:szCs w:val="20"/>
                <w:lang w:val="sl-si"/>
              </w:rPr>
              <w:t xml:space="preserve"> </w:t>
            </w:r>
            <w:r>
              <w:rPr>
                <w:rFonts w:ascii="Verdana" w:hAnsi="Verdana"/>
                <w:b/>
                <w:bCs/>
                <w:sz w:val="20"/>
                <w:szCs w:val="20"/>
                <w:lang w:val="sl-si"/>
              </w:rPr>
              <w:t>– Pogodba;</w:t>
            </w:r>
            <w:r>
              <w:rPr>
                <w:rFonts w:ascii="Verdana" w:hAnsi="Verdana"/>
                <w:b/>
                <w:bCs/>
                <w:sz w:val="20"/>
                <w:szCs w:val="20"/>
              </w:rPr>
            </w:r>
          </w:p>
          <w:p>
            <w:pPr>
              <w:numPr>
                <w:ilvl w:val="0"/>
                <w:numId w:val="3"/>
              </w:numPr>
              <w:ind w:left="357" w:hanging="357"/>
              <w:spacing w:after="120" w:line="240" w:lineRule="auto"/>
              <w:jc w:val="both"/>
              <w:widowControl w:val="0"/>
              <w:rPr>
                <w:rFonts w:ascii="Verdana" w:hAnsi="Verdana"/>
                <w:b/>
                <w:bCs/>
                <w:sz w:val="20"/>
                <w:szCs w:val="20"/>
              </w:rPr>
            </w:pPr>
            <w:r>
              <w:rPr>
                <w:rFonts w:ascii="Verdana" w:hAnsi="Verdana"/>
                <w:b/>
                <w:bCs/>
                <w:sz w:val="20"/>
                <w:szCs w:val="20"/>
                <w:lang w:val="sl-si"/>
              </w:rPr>
              <w:t>izpolnjen obrazec ePRO – Ponudba;</w:t>
            </w:r>
            <w:r>
              <w:rPr>
                <w:rFonts w:ascii="Verdana" w:hAnsi="Verdana"/>
                <w:b/>
                <w:bCs/>
                <w:sz w:val="20"/>
                <w:szCs w:val="20"/>
              </w:rPr>
            </w:r>
          </w:p>
          <w:p>
            <w:pPr>
              <w:numPr>
                <w:ilvl w:val="0"/>
                <w:numId w:val="3"/>
              </w:numPr>
              <w:ind w:left="357" w:hanging="357"/>
              <w:spacing w:after="120" w:line="240" w:lineRule="auto"/>
              <w:jc w:val="both"/>
              <w:widowControl w:val="0"/>
              <w:rPr>
                <w:rFonts w:ascii="Verdana" w:hAnsi="Verdana"/>
                <w:b/>
                <w:bCs/>
                <w:sz w:val="20"/>
                <w:szCs w:val="20"/>
              </w:rPr>
            </w:pPr>
            <w:r>
              <w:rPr>
                <w:rFonts w:ascii="Verdana" w:hAnsi="Verdana"/>
                <w:b/>
                <w:bCs/>
                <w:sz w:val="20"/>
                <w:szCs w:val="20"/>
                <w:lang w:val="sl-si"/>
              </w:rPr>
              <w:t>izpolnjen obrazec ePRO – SLA;</w:t>
            </w:r>
            <w:r>
              <w:rPr>
                <w:rFonts w:ascii="Verdana" w:hAnsi="Verdana"/>
                <w:b/>
                <w:bCs/>
                <w:sz w:val="20"/>
                <w:szCs w:val="20"/>
              </w:rPr>
            </w:r>
          </w:p>
          <w:p>
            <w:pPr>
              <w:numPr>
                <w:ilvl w:val="0"/>
                <w:numId w:val="3"/>
              </w:numPr>
              <w:ind w:left="357" w:hanging="357"/>
              <w:spacing w:after="120" w:line="240" w:lineRule="auto"/>
              <w:jc w:val="both"/>
              <w:widowControl w:val="0"/>
              <w:rPr>
                <w:rFonts w:ascii="Verdana" w:hAnsi="Verdana"/>
                <w:b/>
                <w:bCs/>
                <w:sz w:val="20"/>
                <w:szCs w:val="20"/>
              </w:rPr>
            </w:pPr>
            <w:r>
              <w:rPr>
                <w:rFonts w:ascii="Verdana" w:hAnsi="Verdana"/>
                <w:b/>
                <w:bCs/>
                <w:sz w:val="20"/>
                <w:szCs w:val="20"/>
                <w:lang w:val="sl-si"/>
              </w:rPr>
              <w:t>izpolnjen obrazec ePRO – Specifikacije;</w:t>
            </w:r>
            <w:r>
              <w:rPr>
                <w:rFonts w:ascii="Verdana" w:hAnsi="Verdana"/>
                <w:b/>
                <w:bCs/>
                <w:sz w:val="20"/>
                <w:szCs w:val="20"/>
              </w:rPr>
            </w:r>
          </w:p>
          <w:p>
            <w:pPr>
              <w:numPr>
                <w:ilvl w:val="0"/>
                <w:numId w:val="3"/>
              </w:numPr>
              <w:ind w:left="357" w:hanging="357"/>
              <w:spacing w:after="120" w:line="240" w:lineRule="auto"/>
              <w:jc w:val="both"/>
              <w:widowControl w:val="0"/>
              <w:rPr>
                <w:rFonts w:ascii="Verdana" w:hAnsi="Verdana"/>
                <w:sz w:val="20"/>
                <w:szCs w:val="20"/>
                <w:lang w:val="sl-si"/>
              </w:rPr>
            </w:pPr>
            <w:r>
              <w:rPr>
                <w:rFonts w:ascii="Verdana" w:hAnsi="Verdana"/>
                <w:b/>
                <w:sz w:val="20"/>
                <w:szCs w:val="20"/>
                <w:lang w:val="sl-si"/>
              </w:rPr>
              <w:t>bančna garancija</w:t>
            </w:r>
            <w:r>
              <w:rPr>
                <w:rFonts w:ascii="Verdana" w:hAnsi="Verdana"/>
                <w:sz w:val="20"/>
                <w:szCs w:val="20"/>
                <w:lang w:val="sl-si"/>
              </w:rPr>
              <w:t xml:space="preserve"> za resnost ponudbe ali enakovredno kavcijsko zavarovanje zavarovalnice skladno z zahtevami iz 2. točke;</w:t>
            </w:r>
          </w:p>
          <w:p>
            <w:pPr>
              <w:numPr>
                <w:ilvl w:val="0"/>
                <w:numId w:val="3"/>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 xml:space="preserve">izpolnjen in podpisan obrazec </w:t>
            </w:r>
            <w:r>
              <w:rPr>
                <w:rFonts w:ascii="Verdana" w:hAnsi="Verdana"/>
                <w:b/>
                <w:bCs/>
                <w:sz w:val="20"/>
                <w:szCs w:val="20"/>
                <w:lang w:val="sl-si"/>
              </w:rPr>
              <w:t>ePRO – Zahtevek za podatke iz kazenske evidence</w:t>
            </w:r>
            <w:r>
              <w:rPr>
                <w:rFonts w:ascii="Verdana" w:hAnsi="Verdana"/>
                <w:sz w:val="20"/>
                <w:szCs w:val="20"/>
                <w:lang w:val="sl-si"/>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pPr>
              <w:ind w:left="357"/>
              <w:spacing w:after="120" w:line="240" w:lineRule="auto"/>
              <w:jc w:val="both"/>
              <w:widowControl w:val="0"/>
              <w:rPr>
                <w:rFonts w:ascii="Verdana" w:hAnsi="Verdana"/>
                <w:sz w:val="20"/>
                <w:szCs w:val="20"/>
                <w:lang w:val="sl-si"/>
              </w:rPr>
            </w:pPr>
            <w:r>
              <w:rPr>
                <w:rFonts w:ascii="Verdana" w:hAnsi="Verdana"/>
                <w:sz w:val="20"/>
                <w:szCs w:val="20"/>
                <w:lang w:val="sl-si"/>
              </w:rPr>
            </w:r>
          </w:p>
          <w:p>
            <w:pPr>
              <w:numPr>
                <w:ilvl w:val="0"/>
                <w:numId w:val="3"/>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 xml:space="preserve">v primeru, da ponudnik nastopa s </w:t>
            </w:r>
            <w:r>
              <w:rPr>
                <w:rFonts w:ascii="Verdana" w:hAnsi="Verdana"/>
                <w:b/>
                <w:sz w:val="20"/>
                <w:szCs w:val="20"/>
                <w:lang w:val="sl-si"/>
              </w:rPr>
              <w:t>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color="auto" w:val="single"/>
                <w:lang w:val="sl-si"/>
              </w:rPr>
              <w:t>Pogodba mora jasno določati, da proti naročniku za celotno obveznost in za vsak njen del odgovarjajo vsi partnerji solidarno in vsak posebej v celoti.</w:t>
            </w:r>
            <w:r>
              <w:rPr>
                <w:rFonts w:ascii="Verdana" w:hAnsi="Verdana"/>
                <w:sz w:val="20"/>
                <w:szCs w:val="20"/>
                <w:lang w:val="sl-si"/>
              </w:rPr>
            </w:r>
          </w:p>
          <w:p>
            <w:pPr>
              <w:spacing w:after="120" w:line="240" w:lineRule="auto"/>
              <w:jc w:val="both"/>
              <w:widowControl w:val="0"/>
              <w:rPr>
                <w:rFonts w:ascii="Verdana" w:hAnsi="Verdana"/>
                <w:sz w:val="20"/>
                <w:szCs w:val="20"/>
                <w:lang w:val="sl-si"/>
              </w:rPr>
            </w:pPr>
            <w:r>
              <w:rPr>
                <w:rFonts w:ascii="Verdana" w:hAnsi="Verdana"/>
                <w:sz w:val="20"/>
                <w:szCs w:val="20"/>
                <w:lang w:val="sl-si"/>
              </w:rPr>
              <w:t>Ponudniki v vseh zahtevanih obrazcih izpolnijo prazna polja in vsebine, ki so predvidene za vnos podatkov s strani ponudnikov.</w:t>
            </w:r>
          </w:p>
          <w:p>
            <w:pPr>
              <w:spacing w:after="120" w:line="240" w:lineRule="auto"/>
              <w:jc w:val="both"/>
              <w:widowControl w:val="0"/>
              <w:rPr>
                <w:rFonts w:ascii="Verdana" w:hAnsi="Verdana"/>
                <w:sz w:val="20"/>
                <w:szCs w:val="20"/>
                <w:lang w:val="sl-si"/>
              </w:rPr>
            </w:pPr>
            <w:r/>
            <w:bookmarkStart w:id="0" w:name="_Hlk511137003"/>
            <w:r/>
            <w:r>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0" w:history="1">
              <w:r>
                <w:rPr>
                  <w:rStyle w:val="char20"/>
                  <w:rFonts w:ascii="Verdana" w:hAnsi="Verdana"/>
                  <w:sz w:val="20"/>
                  <w:szCs w:val="20"/>
                  <w:lang w:val="sl-si"/>
                </w:rPr>
                <w:t>www.eponudbe.si</w:t>
              </w:r>
            </w:hyperlink>
            <w:r>
              <w:rPr>
                <w:rFonts w:ascii="Verdana" w:hAnsi="Verdana"/>
                <w:sz w:val="20"/>
                <w:szCs w:val="20"/>
                <w:lang w:val="sl-si"/>
              </w:rPr>
              <w:t xml:space="preserve"> na kontaktne osebe, ki jih je ob oddaji ponudbe ali naknadno navedel ponudnik.</w:t>
            </w:r>
            <w:r/>
            <w:bookmarkEnd w:id="0"/>
            <w: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Style w:val="TableNormal"/>
        <w:name w:val="Table7"/>
        <w:tabOrder w:val="0"/>
        <w:jc w:val="center"/>
        <w:tblInd w:w="0" w:type="dxa"/>
        <w:tblW w:w="9696" w:type="dxa"/>
        <w:tblLook w:val="04A0" w:firstRow="1" w:lastRow="0" w:firstColumn="1" w:lastColumn="0" w:noHBand="0" w:noVBand="1"/>
      </w:tblPr>
      <w:tblGrid>
        <w:gridCol w:w="2347"/>
        <w:gridCol w:w="1663"/>
        <w:gridCol w:w="2115"/>
        <w:gridCol w:w="3335"/>
        <w:gridCol w:w="67"/>
        <w:gridCol w:w="169"/>
      </w:tblGrid>
      <w:tr>
        <w:trPr>
          <w:tblHeader w:val="0"/>
          <w:cantSplit w:val="0"/>
          <w:trHeight w:val="20" w:hRule="atLeast"/>
        </w:trPr>
        <w:tc>
          <w:tcPr>
            <w:tcW w:w="234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Rok veljavnosti ponudbe</w:t>
            </w:r>
          </w:p>
        </w:tc>
        <w:tc>
          <w:tcPr>
            <w:tcW w:w="7180" w:type="dxa"/>
            <w:gridSpan w:val="4"/>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ind w:right="-75"/>
              <w:spacing w:after="0" w:line="240" w:lineRule="auto"/>
              <w:jc w:val="both"/>
              <w:widowControl w:val="0"/>
              <w:rPr>
                <w:rFonts w:ascii="Verdana" w:hAnsi="Verdana"/>
                <w:sz w:val="20"/>
                <w:szCs w:val="20"/>
                <w:lang w:val="sl-si"/>
              </w:rPr>
            </w:pPr>
            <w:r>
              <w:rPr>
                <w:rFonts w:ascii="Verdana" w:hAnsi="Verdana"/>
                <w:sz w:val="20"/>
                <w:szCs w:val="20"/>
                <w:lang w:val="sl-si"/>
              </w:rPr>
              <w:t>Tri mesece od roka za prejem ponudbe, kar ponudniki potrdijo z izpolnitvijo obrazca ESPD.</w:t>
            </w:r>
          </w:p>
        </w:tc>
      </w:tr>
      <w:tr>
        <w:trPr>
          <w:tblHeader w:val="0"/>
          <w:cantSplit w:val="0"/>
          <w:trHeight w:val="20" w:hRule="atLeast"/>
        </w:trPr>
        <w:tc>
          <w:tcPr>
            <w:tcW w:w="234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Jezik ponudbe</w:t>
            </w:r>
          </w:p>
        </w:tc>
        <w:tc>
          <w:tcPr>
            <w:tcW w:w="7180" w:type="dxa"/>
            <w:gridSpan w:val="4"/>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Ponudba mora biti pripravljena v slovenskem jeziku. Priloge so lahko tudi v tujem jeziku. Na zahtevo naročnika mora ponudnik priskrbeti prevod v slovenski jezik.</w:t>
            </w:r>
          </w:p>
        </w:tc>
      </w:tr>
      <w:tr>
        <w:trPr>
          <w:tblHeader w:val="0"/>
          <w:cantSplit w:val="0"/>
          <w:trHeight w:val="20" w:hRule="atLeast"/>
        </w:trPr>
        <w:tc>
          <w:tcPr>
            <w:tcW w:w="234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Oblika ponudbe</w:t>
            </w:r>
          </w:p>
        </w:tc>
        <w:tc>
          <w:tcPr>
            <w:tcW w:w="7180" w:type="dxa"/>
            <w:gridSpan w:val="4"/>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 xml:space="preserve">Ponudba mora biti predložena v elektronski obliki v formatih obrazcev, ki jih je v dokumentaciji dal naročnik ali izpolnjenih ročno in poskeniranih v formatu PDF ali elektronsko podpisanih ter oddanih na portalu </w:t>
            </w:r>
            <w:hyperlink r:id="rId11" w:history="1">
              <w:r>
                <w:rPr>
                  <w:rStyle w:val="char20"/>
                  <w:rFonts w:ascii="Verdana" w:hAnsi="Verdana"/>
                  <w:sz w:val="20"/>
                  <w:szCs w:val="20"/>
                  <w:lang w:val="sl-si"/>
                </w:rPr>
                <w:t>www.eponudbe.si</w:t>
              </w:r>
            </w:hyperlink>
            <w:r>
              <w:rPr>
                <w:rFonts w:ascii="Verdana" w:hAnsi="Verdana"/>
                <w:sz w:val="20"/>
                <w:szCs w:val="20"/>
                <w:lang w:val="sl-si"/>
              </w:rPr>
              <w:t xml:space="preserve"> pri objavi tega javnega naročila.</w:t>
            </w:r>
            <w:r>
              <w:rPr>
                <w:rFonts w:ascii="Verdana" w:hAnsi="Verdana"/>
                <w:sz w:val="20"/>
                <w:szCs w:val="20"/>
                <w:lang w:val="sl-si"/>
              </w:rPr>
            </w:r>
          </w:p>
        </w:tc>
      </w:tr>
      <w:tr>
        <w:trPr>
          <w:tblHeader w:val="0"/>
          <w:cantSplit w:val="0"/>
          <w:trHeight w:val="20" w:hRule="atLeast"/>
        </w:trPr>
        <w:tc>
          <w:tcPr>
            <w:tcW w:w="234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Stroški ponudbe</w:t>
            </w:r>
          </w:p>
        </w:tc>
        <w:tc>
          <w:tcPr>
            <w:tcW w:w="7180" w:type="dxa"/>
            <w:gridSpan w:val="4"/>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Ponudnik nosi vse stroške, povezane s pripravo in predložitvijo ponudbe.</w:t>
            </w:r>
          </w:p>
        </w:tc>
      </w:tr>
      <w:tr>
        <w:trPr>
          <w:tblHeader w:val="0"/>
          <w:cantSplit w:val="0"/>
          <w:trHeight w:val="20" w:hRule="atLeast"/>
        </w:trPr>
        <w:tc>
          <w:tcPr>
            <w:tcW w:w="2347" w:type="dxa"/>
            <w:vMerge w:val="restart"/>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Variantne ponudbe</w:t>
            </w:r>
          </w:p>
        </w:tc>
        <w:tc>
          <w:tcPr>
            <w:tcW w:w="1663"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niso dovoljene</w:t>
            </w:r>
          </w:p>
        </w:tc>
        <w:tc>
          <w:tcPr>
            <w:tcW w:w="211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so dovoljene</w:t>
            </w:r>
          </w:p>
        </w:tc>
        <w:tc>
          <w:tcPr>
            <w:tcW w:w="333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posebni pogoji</w:t>
            </w:r>
          </w:p>
        </w:tc>
        <w:tc>
          <w:tcPr>
            <w:tcW w:w="236" w:type="dxa"/>
            <w:gridSpan w:val="2"/>
            <w:shd w:val="none"/>
            <w:tcMar>
              <w:top w:w="108" w:type="dxa"/>
              <w:left w:w="108" w:type="dxa"/>
              <w:bottom w:w="108" w:type="dxa"/>
              <w:right w:w="108" w:type="dxa"/>
            </w:tcMar>
            <w:tmTcPr id="1642505731" protected="0"/>
          </w:tcPr>
          <w:p>
            <w:pPr>
              <w:widowControl w:val="0"/>
            </w:pPr>
            <w:r/>
          </w:p>
        </w:tc>
      </w:tr>
      <w:tr>
        <w:trPr>
          <w:tblHeader w:val="0"/>
          <w:cantSplit w:val="0"/>
          <w:trHeight w:val="20" w:hRule="atLeast"/>
        </w:trPr>
        <w:tc>
          <w:tcPr>
            <w:tcW w:w="2347" w:type="dxa"/>
            <w:vMerge/>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tc>
        <w:tc>
          <w:tcPr>
            <w:tcW w:w="1663"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Wingdings" w:hAnsi="Wingdings" w:eastAsia="Wingdings" w:cs="Wingdings"/>
                <w:sz w:val="20"/>
                <w:szCs w:val="20"/>
                <w:lang w:val="sl-si"/>
              </w:rPr>
            </w:pPr>
            <w:r>
              <w:rPr>
                <w:rFonts w:ascii="Wingdings" w:hAnsi="Wingdings" w:eastAsia="Wingdings" w:cs="Wingdings"/>
                <w:sz w:val="20"/>
                <w:szCs w:val="20"/>
                <w:lang w:val="sl-si"/>
              </w:rPr>
              <w:t></w:t>
            </w:r>
          </w:p>
        </w:tc>
        <w:tc>
          <w:tcPr>
            <w:tcW w:w="211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333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6" w:type="dxa"/>
            <w:gridSpan w:val="2"/>
            <w:shd w:val="none"/>
            <w:tcMar>
              <w:top w:w="108" w:type="dxa"/>
              <w:left w:w="108" w:type="dxa"/>
              <w:bottom w:w="108" w:type="dxa"/>
              <w:right w:w="108" w:type="dxa"/>
            </w:tcMar>
            <w:tmTcPr id="1642505731" protected="0"/>
          </w:tcPr>
          <w:p>
            <w:pPr>
              <w:widowControl w:val="0"/>
            </w:pPr>
            <w:r/>
          </w:p>
        </w:tc>
      </w:tr>
      <w:tr>
        <w:trPr>
          <w:tblHeader w:val="0"/>
          <w:cantSplit w:val="0"/>
          <w:trHeight w:val="20" w:hRule="atLeast"/>
        </w:trPr>
        <w:tc>
          <w:tcPr>
            <w:tcW w:w="2347" w:type="dxa"/>
            <w:vMerge w:val="restart"/>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Opcije</w:t>
            </w:r>
          </w:p>
        </w:tc>
        <w:tc>
          <w:tcPr>
            <w:tcW w:w="1663"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niso dovoljene</w:t>
            </w:r>
          </w:p>
        </w:tc>
        <w:tc>
          <w:tcPr>
            <w:tcW w:w="211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so dovoljene</w:t>
            </w:r>
          </w:p>
        </w:tc>
        <w:tc>
          <w:tcPr>
            <w:tcW w:w="333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posebni pogoji</w:t>
            </w:r>
          </w:p>
        </w:tc>
        <w:tc>
          <w:tcPr>
            <w:tcW w:w="236" w:type="dxa"/>
            <w:gridSpan w:val="2"/>
            <w:shd w:val="none"/>
            <w:tcMar>
              <w:top w:w="108" w:type="dxa"/>
              <w:left w:w="108" w:type="dxa"/>
              <w:bottom w:w="108" w:type="dxa"/>
              <w:right w:w="108" w:type="dxa"/>
            </w:tcMar>
            <w:tmTcPr id="1642505731" protected="0"/>
          </w:tcPr>
          <w:p>
            <w:pPr>
              <w:widowControl w:val="0"/>
            </w:pPr>
            <w:r/>
          </w:p>
        </w:tc>
      </w:tr>
      <w:tr>
        <w:trPr>
          <w:tblHeader w:val="0"/>
          <w:cantSplit w:val="0"/>
          <w:trHeight w:val="20" w:hRule="atLeast"/>
        </w:trPr>
        <w:tc>
          <w:tcPr>
            <w:tcW w:w="2347" w:type="dxa"/>
            <w:vMerge/>
            <w:shd w:val="solid" w:color="FAAA5A" tmshd="6553856, 5942010,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tc>
        <w:tc>
          <w:tcPr>
            <w:tcW w:w="1663"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Wingdings" w:hAnsi="Wingdings" w:eastAsia="Wingdings" w:cs="Wingdings"/>
                <w:sz w:val="20"/>
                <w:szCs w:val="20"/>
                <w:lang w:val="sl-si"/>
              </w:rPr>
            </w:pPr>
            <w:r>
              <w:rPr>
                <w:rFonts w:ascii="Wingdings" w:hAnsi="Wingdings" w:eastAsia="Wingdings" w:cs="Wingdings"/>
                <w:sz w:val="20"/>
                <w:szCs w:val="20"/>
                <w:lang w:val="sl-si"/>
              </w:rPr>
              <w:t></w:t>
            </w:r>
          </w:p>
        </w:tc>
        <w:tc>
          <w:tcPr>
            <w:tcW w:w="211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333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6" w:type="dxa"/>
            <w:gridSpan w:val="2"/>
            <w:shd w:val="none"/>
            <w:tcMar>
              <w:top w:w="108" w:type="dxa"/>
              <w:left w:w="108" w:type="dxa"/>
              <w:bottom w:w="108" w:type="dxa"/>
              <w:right w:w="108" w:type="dxa"/>
            </w:tcMar>
            <w:tmTcPr id="1642505731" protected="0"/>
          </w:tcPr>
          <w:p>
            <w:pPr>
              <w:widowControl w:val="0"/>
            </w:pPr>
            <w:r/>
          </w:p>
        </w:tc>
      </w:tr>
      <w:tr>
        <w:trPr>
          <w:tblHeader w:val="0"/>
          <w:cantSplit w:val="0"/>
          <w:trHeight w:val="20" w:hRule="atLeast"/>
        </w:trPr>
        <w:tc>
          <w:tcPr>
            <w:tcW w:w="2347"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Skupno nastopanje</w:t>
            </w:r>
          </w:p>
        </w:tc>
        <w:tc>
          <w:tcPr>
            <w:tcW w:w="7180" w:type="dxa"/>
            <w:gridSpan w:val="4"/>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Pri javnem naročilu je dovoljena skupna ponudba več pogodbenih partnerjev.</w:t>
            </w:r>
          </w:p>
          <w:p>
            <w:pPr>
              <w:spacing w:after="120" w:line="240" w:lineRule="auto"/>
              <w:jc w:val="both"/>
              <w:widowControl w:val="0"/>
              <w:rPr>
                <w:rFonts w:ascii="Verdana" w:hAnsi="Verdana"/>
                <w:sz w:val="20"/>
                <w:szCs w:val="20"/>
                <w:lang w:val="sl-si"/>
              </w:rPr>
            </w:pPr>
            <w:r>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pPr>
              <w:spacing w:after="120" w:line="240" w:lineRule="auto"/>
              <w:jc w:val="both"/>
              <w:widowControl w:val="0"/>
              <w:rPr>
                <w:rFonts w:ascii="Verdana" w:hAnsi="Verdana"/>
                <w:sz w:val="20"/>
                <w:szCs w:val="20"/>
                <w:lang w:val="sl-si"/>
              </w:rPr>
            </w:pPr>
            <w:r>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trPr>
          <w:tblHeader w:val="0"/>
          <w:cantSplit w:val="0"/>
          <w:trHeight w:val="20" w:hRule="atLeast"/>
        </w:trPr>
        <w:tc>
          <w:tcPr>
            <w:tcW w:w="2347" w:type="dxa"/>
            <w:vMerge w:val="restart"/>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Nastopanje s podizvajalci</w:t>
            </w:r>
          </w:p>
        </w:tc>
        <w:tc>
          <w:tcPr>
            <w:tcW w:w="1663"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ni dovoljeno</w:t>
            </w:r>
          </w:p>
        </w:tc>
        <w:tc>
          <w:tcPr>
            <w:tcW w:w="211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je dovoljeno</w:t>
            </w:r>
          </w:p>
        </w:tc>
        <w:tc>
          <w:tcPr>
            <w:tcW w:w="333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pogoji</w:t>
            </w:r>
          </w:p>
        </w:tc>
        <w:tc>
          <w:tcPr>
            <w:tcW w:w="236" w:type="dxa"/>
            <w:gridSpan w:val="2"/>
            <w:shd w:val="none"/>
            <w:tcMar>
              <w:top w:w="108" w:type="dxa"/>
              <w:left w:w="108" w:type="dxa"/>
              <w:bottom w:w="108" w:type="dxa"/>
              <w:right w:w="108" w:type="dxa"/>
            </w:tcMar>
            <w:tmTcPr id="1642505731" protected="0"/>
          </w:tcPr>
          <w:p>
            <w:pPr>
              <w:widowControl w:val="0"/>
            </w:pPr>
            <w:r/>
          </w:p>
        </w:tc>
      </w:tr>
      <w:tr>
        <w:trPr>
          <w:tblHeader w:val="0"/>
          <w:cantSplit w:val="0"/>
          <w:trHeight w:val="20" w:hRule="atLeast"/>
        </w:trPr>
        <w:tc>
          <w:tcPr>
            <w:tcW w:w="2347" w:type="dxa"/>
            <w:vMerge/>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tc>
        <w:tc>
          <w:tcPr>
            <w:tcW w:w="1663"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r>
          </w:p>
        </w:tc>
        <w:tc>
          <w:tcPr>
            <w:tcW w:w="211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Wingdings" w:hAnsi="Wingdings" w:eastAsia="Wingdings" w:cs="Wingdings"/>
                <w:sz w:val="20"/>
                <w:szCs w:val="20"/>
                <w:lang w:val="sl-si"/>
              </w:rPr>
            </w:pPr>
            <w:r>
              <w:rPr>
                <w:rFonts w:ascii="Wingdings" w:hAnsi="Wingdings" w:eastAsia="Wingdings" w:cs="Wingdings"/>
                <w:sz w:val="20"/>
                <w:szCs w:val="20"/>
                <w:lang w:val="sl-si"/>
              </w:rPr>
              <w:t></w:t>
            </w:r>
          </w:p>
        </w:tc>
        <w:tc>
          <w:tcPr>
            <w:tcW w:w="333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 za ves čas in za vsa prevzeta dela izvedbe javnega naročila.</w:t>
            </w:r>
          </w:p>
          <w:p>
            <w:pPr>
              <w:spacing w:after="0" w:line="240" w:lineRule="auto"/>
              <w:jc w:val="both"/>
              <w:widowControl w:val="0"/>
              <w:rPr>
                <w:rFonts w:ascii="Verdana" w:hAnsi="Verdana"/>
                <w:sz w:val="20"/>
                <w:szCs w:val="20"/>
                <w:lang w:val="sl-si"/>
              </w:rPr>
            </w:pPr>
            <w:r>
              <w:rPr>
                <w:rFonts w:ascii="Verdana" w:hAnsi="Verdana"/>
                <w:sz w:val="20"/>
                <w:szCs w:val="20"/>
                <w:lang w:val="sl-si"/>
              </w:rPr>
              <w:t>Ponudnik v razmerju do naročnika v celoti odgovarja za izvedbo prejetega naročila, ne glede na število podizvajalcev.</w:t>
            </w:r>
          </w:p>
        </w:tc>
        <w:tc>
          <w:tcPr>
            <w:tcW w:w="236" w:type="dxa"/>
            <w:gridSpan w:val="2"/>
            <w:shd w:val="none"/>
            <w:tcMar>
              <w:top w:w="108" w:type="dxa"/>
              <w:left w:w="108" w:type="dxa"/>
              <w:bottom w:w="108" w:type="dxa"/>
              <w:right w:w="108" w:type="dxa"/>
            </w:tcMar>
            <w:tmTcPr id="1642505731" protected="0"/>
          </w:tcPr>
          <w:p>
            <w:pPr>
              <w:widowControl w:val="0"/>
            </w:pPr>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Style w:val="TableNormal"/>
        <w:name w:val="Table8"/>
        <w:tabOrder w:val="0"/>
        <w:jc w:val="center"/>
        <w:tblInd w:w="0" w:type="dxa"/>
        <w:tblW w:w="9695" w:type="dxa"/>
        <w:tblLook w:val="04A0" w:firstRow="1" w:lastRow="0" w:firstColumn="1" w:lastColumn="0" w:noHBand="0" w:noVBand="1"/>
      </w:tblPr>
      <w:tblGrid>
        <w:gridCol w:w="2405"/>
        <w:gridCol w:w="7290"/>
      </w:tblGrid>
      <w:tr>
        <w:trPr>
          <w:tblHeader w:val="0"/>
          <w:cantSplit w:val="0"/>
          <w:trHeight w:val="20" w:hRule="atLeast"/>
        </w:trPr>
        <w:tc>
          <w:tcPr>
            <w:tcW w:w="9695" w:type="dxa"/>
            <w:gridSpan w:val="2"/>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b/>
                <w:sz w:val="20"/>
                <w:szCs w:val="20"/>
                <w:lang w:val="sl-si"/>
              </w:rPr>
              <w:t>Predložitev ponudb</w:t>
            </w:r>
            <w:r>
              <w:rPr>
                <w:rFonts w:ascii="Verdana" w:hAnsi="Verdana"/>
                <w:sz w:val="20"/>
                <w:szCs w:val="20"/>
                <w:lang w:val="sl-si"/>
              </w:rPr>
            </w:r>
          </w:p>
        </w:tc>
      </w:tr>
      <w:tr>
        <w:trPr>
          <w:tblHeader w:val="0"/>
          <w:cantSplit w:val="0"/>
          <w:trHeight w:val="20" w:hRule="atLeast"/>
        </w:trPr>
        <w:tc>
          <w:tcPr>
            <w:tcW w:w="240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Rok za prejem ponudb</w:t>
            </w:r>
          </w:p>
        </w:tc>
        <w:tc>
          <w:tcPr>
            <w:tcW w:w="729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18.02.2022 do 07:00</w:t>
            </w:r>
          </w:p>
        </w:tc>
      </w:tr>
      <w:tr>
        <w:trPr>
          <w:tblHeader w:val="0"/>
          <w:cantSplit w:val="0"/>
          <w:trHeight w:val="20" w:hRule="atLeast"/>
        </w:trPr>
        <w:tc>
          <w:tcPr>
            <w:tcW w:w="240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Vložišče</w:t>
            </w:r>
          </w:p>
        </w:tc>
        <w:tc>
          <w:tcPr>
            <w:tcW w:w="729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www.eponudbe.si pri objavi tega javnega naročila</w:t>
            </w:r>
          </w:p>
        </w:tc>
      </w:tr>
      <w:tr>
        <w:trPr>
          <w:tblHeader w:val="0"/>
          <w:cantSplit w:val="0"/>
          <w:trHeight w:val="20" w:hRule="atLeast"/>
        </w:trPr>
        <w:tc>
          <w:tcPr>
            <w:tcW w:w="240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Spremembe in umik ponudb</w:t>
            </w:r>
          </w:p>
        </w:tc>
        <w:tc>
          <w:tcPr>
            <w:tcW w:w="729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trPr>
          <w:tblHeader w:val="0"/>
          <w:cantSplit w:val="0"/>
          <w:trHeight w:val="20" w:hRule="atLeast"/>
        </w:trPr>
        <w:tc>
          <w:tcPr>
            <w:tcW w:w="9695" w:type="dxa"/>
            <w:gridSpan w:val="2"/>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b/>
                <w:sz w:val="20"/>
                <w:szCs w:val="20"/>
                <w:lang w:val="sl-si"/>
              </w:rPr>
              <w:t>Javno odpiranje ponudb</w:t>
            </w:r>
            <w:r>
              <w:rPr>
                <w:rFonts w:ascii="Verdana" w:hAnsi="Verdana"/>
                <w:sz w:val="20"/>
                <w:szCs w:val="20"/>
                <w:lang w:val="sl-si"/>
              </w:rPr>
            </w:r>
          </w:p>
        </w:tc>
      </w:tr>
      <w:tr>
        <w:trPr>
          <w:tblHeader w:val="0"/>
          <w:cantSplit w:val="0"/>
          <w:trHeight w:val="20" w:hRule="atLeast"/>
        </w:trPr>
        <w:tc>
          <w:tcPr>
            <w:tcW w:w="2405"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Čas</w:t>
            </w:r>
          </w:p>
        </w:tc>
        <w:tc>
          <w:tcPr>
            <w:tcW w:w="7290"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Lokacija</w:t>
            </w:r>
          </w:p>
        </w:tc>
      </w:tr>
      <w:tr>
        <w:trPr>
          <w:tblHeader w:val="0"/>
          <w:cantSplit w:val="0"/>
          <w:trHeight w:val="20" w:hRule="atLeast"/>
        </w:trPr>
        <w:tc>
          <w:tcPr>
            <w:tcW w:w="2405"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b/>
                <w:sz w:val="20"/>
                <w:szCs w:val="20"/>
                <w:lang w:val="sl-si"/>
              </w:rPr>
              <w:t>18.02.2022 ob 08:00</w:t>
            </w:r>
            <w:r>
              <w:rPr>
                <w:rFonts w:ascii="Verdana" w:hAnsi="Verdana"/>
                <w:sz w:val="20"/>
                <w:szCs w:val="20"/>
                <w:lang w:val="sl-si"/>
              </w:rPr>
            </w:r>
          </w:p>
        </w:tc>
        <w:tc>
          <w:tcPr>
            <w:tcW w:w="729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www.eponudbe.si pri objavi tega javnega naročila</w:t>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120" w:line="240" w:lineRule="auto"/>
        <w:rPr>
          <w:rFonts w:ascii="Verdana" w:hAnsi="Verdana"/>
          <w:b/>
          <w:sz w:val="20"/>
          <w:szCs w:val="20"/>
          <w:lang w:val="sl-si"/>
        </w:rPr>
      </w:pPr>
      <w:r>
        <w:rPr>
          <w:rFonts w:ascii="Verdana" w:hAnsi="Verdana"/>
          <w:b/>
          <w:sz w:val="20"/>
          <w:szCs w:val="20"/>
          <w:lang w:val="sl-si"/>
        </w:rPr>
        <w:t>PREVERJANJE SPOSOBNOSTI</w:t>
      </w:r>
    </w:p>
    <w:p>
      <w:pPr>
        <w:spacing w:after="120" w:line="240" w:lineRule="auto"/>
        <w:jc w:val="both"/>
        <w:rPr>
          <w:rFonts w:ascii="Verdana" w:hAnsi="Verdana"/>
          <w:sz w:val="20"/>
          <w:szCs w:val="20"/>
          <w:lang w:val="sl-si"/>
        </w:rPr>
      </w:pPr>
      <w:r>
        <w:rPr>
          <w:rFonts w:ascii="Verdana" w:hAnsi="Verdana"/>
          <w:b/>
          <w:sz w:val="20"/>
          <w:szCs w:val="20"/>
          <w:lang w:val="sl-si"/>
        </w:rPr>
        <w:t xml:space="preserve">Gospodarski subjekt potrdi izpolnjevanje pogojev s predložitvijo izpolnjenega obrazca ESPD </w:t>
      </w:r>
      <w:r>
        <w:rPr>
          <w:rFonts w:ascii="Verdana" w:hAnsi="Verdana"/>
          <w:sz w:val="20"/>
          <w:szCs w:val="20"/>
          <w:lang w:val="sl-si"/>
        </w:rPr>
        <w:t xml:space="preserve">(gospodarski subjekt obrazec ESPD iz razpisne dokumentacije shrani na svoj računalnik, nato pa ga izpolni preko spletne povezave </w:t>
      </w:r>
      <w:hyperlink r:id="rId12" w:history="1">
        <w:r>
          <w:rPr>
            <w:rStyle w:val="char20"/>
            <w:rFonts w:ascii="Verdana" w:hAnsi="Verdana"/>
            <w:sz w:val="20"/>
            <w:szCs w:val="20"/>
            <w:lang w:val="sl-si"/>
          </w:rPr>
          <w:t>http://enarocanje.si/_ESPD/</w:t>
        </w:r>
      </w:hyperlink>
      <w:r>
        <w:rPr>
          <w:rFonts w:ascii="Verdana" w:hAnsi="Verdana"/>
          <w:sz w:val="20"/>
          <w:szCs w:val="20"/>
          <w:lang w:val="sl-si"/>
        </w:rPr>
        <w:t>. Na tej spletni povezavi gospodarski subjekt izbere opcijo »Sem gospodarski subjekt« in opcijo »Uvoziti naročnikov ESPD«. Gospodarski subjekt predloži obrazec ESPD v .</w:t>
      </w:r>
      <w:r>
        <w:rPr>
          <w:rFonts w:ascii="Verdana" w:hAnsi="Verdana"/>
          <w:sz w:val="20"/>
          <w:szCs w:val="20"/>
          <w:lang w:val="sl-si"/>
        </w:rPr>
        <w:t>pdf</w:t>
      </w:r>
      <w:r>
        <w:rPr>
          <w:rFonts w:ascii="Verdana" w:hAnsi="Verdana"/>
          <w:sz w:val="20"/>
          <w:szCs w:val="20"/>
          <w:lang w:val="sl-si"/>
        </w:rPr>
        <w:t xml:space="preserve"> ali elektronski obliki).</w:t>
      </w:r>
      <w:r>
        <w:rPr>
          <w:rFonts w:ascii="Verdana" w:hAnsi="Verdana"/>
          <w:sz w:val="20"/>
          <w:szCs w:val="20"/>
          <w:lang w:val="sl-si"/>
        </w:rPr>
      </w:r>
    </w:p>
    <w:tbl>
      <w:tblPr>
        <w:tblStyle w:val="TableNormal"/>
        <w:name w:val="Table9"/>
        <w:tabOrder w:val="0"/>
        <w:jc w:val="center"/>
        <w:tblInd w:w="0" w:type="dxa"/>
        <w:tblW w:w="9694" w:type="dxa"/>
        <w:tblLook w:val="04A0" w:firstRow="1" w:lastRow="0" w:firstColumn="1" w:lastColumn="0" w:noHBand="0" w:noVBand="1"/>
      </w:tblPr>
      <w:tblGrid>
        <w:gridCol w:w="9694"/>
      </w:tblGrid>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 xml:space="preserve">RAZLOGI ZA IZKLJUČITEV </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A: Razlogi, povezani s kazenskimi obsodbami</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pPr>
              <w:spacing w:after="120" w:line="240" w:lineRule="auto"/>
              <w:jc w:val="both"/>
              <w:widowControl w:val="0"/>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p>
            <w:pPr>
              <w:spacing w:after="12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w:t>
            </w:r>
          </w:p>
          <w:p>
            <w:pPr>
              <w:pStyle w:val="para38"/>
              <w:numPr>
                <w:ilvl w:val="0"/>
                <w:numId w:val="6"/>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izpolnjenega obrazca ESPD;</w:t>
            </w:r>
          </w:p>
          <w:p>
            <w:pPr>
              <w:pStyle w:val="para38"/>
              <w:numPr>
                <w:ilvl w:val="0"/>
                <w:numId w:val="6"/>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zahtevka za podatke iz kazenske evidence fizičnih oseb (zahtevek se predloži za vsako osebo, ki je članica upravnega, vodstvenega ali nadzornega organa gospodarskega subjekta ali ki ima pooblastila za njegovo zastopanje ali odločanje ali nadzor v njem);</w:t>
            </w:r>
          </w:p>
          <w:p>
            <w:pPr>
              <w:pStyle w:val="para38"/>
              <w:numPr>
                <w:ilvl w:val="0"/>
                <w:numId w:val="6"/>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zahtevka za podatke iz kazenske evidence pravnih oseb (zahtevek se predloži za gospodarski subjekt);</w:t>
            </w:r>
          </w:p>
          <w:p>
            <w:pPr>
              <w:spacing w:after="120" w:line="240" w:lineRule="auto"/>
              <w:jc w:val="both"/>
              <w:widowControl w:val="0"/>
              <w:rPr>
                <w:rFonts w:ascii="Verdana" w:hAnsi="Verdana"/>
                <w:sz w:val="20"/>
                <w:szCs w:val="20"/>
                <w:lang w:val="sl-si"/>
              </w:rPr>
            </w:pPr>
            <w:r>
              <w:rPr>
                <w:rFonts w:ascii="Verdana" w:hAnsi="Verdana"/>
                <w:sz w:val="20"/>
                <w:szCs w:val="20"/>
                <w:lang w:val="sl-si"/>
              </w:rPr>
              <w:t>ali</w:t>
            </w:r>
          </w:p>
          <w:p>
            <w:pPr>
              <w:pStyle w:val="para38"/>
              <w:numPr>
                <w:ilvl w:val="0"/>
                <w:numId w:val="6"/>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izpisa iz ustreznega registra, kakršen je sodni register, če tega registra ni, pa enakovreden dokument, ki ga izda pristojni sodni ali upravni organ v drugi državi članici ali matični državi ali državi, v kateri ima sedež gospodarski subjekt.</w:t>
            </w:r>
          </w:p>
          <w:p>
            <w:pPr>
              <w:spacing w:after="120" w:line="240" w:lineRule="auto"/>
              <w:jc w:val="both"/>
              <w:widowControl w:val="0"/>
              <w:rPr>
                <w:rFonts w:ascii="Verdana" w:hAnsi="Verdana"/>
                <w:sz w:val="20"/>
                <w:szCs w:val="20"/>
                <w:lang w:val="sl-si"/>
              </w:rPr>
            </w:pPr>
            <w:r>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pPr>
              <w:spacing w:after="0" w:line="240" w:lineRule="auto"/>
              <w:jc w:val="both"/>
              <w:widowControl w:val="0"/>
              <w:rPr>
                <w:rFonts w:ascii="Verdana" w:hAnsi="Verdana"/>
                <w:sz w:val="20"/>
                <w:szCs w:val="20"/>
                <w:lang w:val="sl-si"/>
              </w:rPr>
            </w:pPr>
            <w:r>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ind w:left="11"/>
              <w:spacing w:after="0" w:line="240" w:lineRule="auto"/>
              <w:jc w:val="both"/>
              <w:widowControl w:val="0"/>
              <w:rPr>
                <w:rFonts w:ascii="Verdana" w:hAnsi="Verdana"/>
                <w:b/>
                <w:sz w:val="20"/>
                <w:szCs w:val="20"/>
                <w:lang w:val="sl-si"/>
              </w:rPr>
            </w:pPr>
            <w:r>
              <w:rPr>
                <w:rFonts w:ascii="Verdana" w:hAnsi="Verdana"/>
                <w:b/>
                <w:sz w:val="20"/>
                <w:szCs w:val="20"/>
                <w:lang w:val="sl-si"/>
              </w:rPr>
              <w:t>B: Razlogi, povezani s plačilom davkov ali prispevkov za socialno varnost</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1. Gospodarski subjekt:</w:t>
            </w:r>
          </w:p>
          <w:p>
            <w:pPr>
              <w:pStyle w:val="para38"/>
              <w:numPr>
                <w:ilvl w:val="0"/>
                <w:numId w:val="7"/>
              </w:numPr>
              <w:ind w:left="360" w:hanging="360"/>
              <w:spacing w:after="120" w:line="240" w:lineRule="auto"/>
              <w:jc w:val="both"/>
              <w:widowControl w:val="0"/>
              <w:rPr>
                <w:rFonts w:ascii="Verdana" w:hAnsi="Verdana"/>
                <w:sz w:val="20"/>
                <w:szCs w:val="20"/>
                <w:lang w:val="sl-si"/>
              </w:rPr>
            </w:pPr>
            <w:r>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pPr>
              <w:numPr>
                <w:ilvl w:val="1"/>
                <w:numId w:val="7"/>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pPr>
              <w:ind w:left="11"/>
              <w:spacing w:after="0" w:line="240" w:lineRule="auto"/>
              <w:jc w:val="both"/>
              <w:widowControl w:val="0"/>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p>
            <w:pPr>
              <w:ind w:left="11"/>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12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ind w:left="11"/>
              <w:spacing w:after="0" w:line="240" w:lineRule="auto"/>
              <w:jc w:val="both"/>
              <w:widowControl w:val="0"/>
              <w:rPr>
                <w:rFonts w:ascii="Verdana" w:hAnsi="Verdana"/>
                <w:b/>
                <w:sz w:val="20"/>
                <w:szCs w:val="20"/>
                <w:lang w:val="sl-si"/>
              </w:rPr>
            </w:pPr>
            <w:r>
              <w:rPr>
                <w:rFonts w:ascii="Verdana" w:hAnsi="Verdana"/>
                <w:b/>
                <w:sz w:val="20"/>
                <w:szCs w:val="20"/>
                <w:lang w:val="sl-si"/>
              </w:rPr>
              <w:t xml:space="preserve">C: Razlogi, povezani z insolventnostjo, nasprotjem interesov ali kršitvijo poklicnih pravil </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1. Gospodarski subjekt:</w:t>
            </w:r>
          </w:p>
          <w:p>
            <w:pPr>
              <w:numPr>
                <w:ilvl w:val="1"/>
                <w:numId w:val="7"/>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ne krši obveznosti iz drugega odstavka 3. člena ZJN-3 (obveznosti na področju okoljskega, socialnega in delovnega prava);</w:t>
            </w:r>
          </w:p>
          <w:p>
            <w:pPr>
              <w:numPr>
                <w:ilvl w:val="1"/>
                <w:numId w:val="7"/>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pPr>
              <w:numPr>
                <w:ilvl w:val="1"/>
                <w:numId w:val="7"/>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ni zagrešil hujše kršitve poklicnih pravil, zaradi česar je omajana njegova integriteta;</w:t>
            </w:r>
          </w:p>
          <w:p>
            <w:pPr>
              <w:numPr>
                <w:ilvl w:val="1"/>
                <w:numId w:val="7"/>
              </w:numPr>
              <w:ind w:left="357" w:hanging="357"/>
              <w:spacing w:after="120" w:line="240" w:lineRule="auto"/>
              <w:jc w:val="both"/>
              <w:widowControl w:val="0"/>
              <w:rPr>
                <w:rFonts w:ascii="Verdana" w:hAnsi="Verdana"/>
                <w:sz w:val="20"/>
                <w:szCs w:val="20"/>
                <w:lang w:val="sl-si"/>
              </w:rPr>
            </w:pPr>
            <w:r>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pPr>
              <w:spacing w:after="120" w:line="240" w:lineRule="auto"/>
              <w:jc w:val="both"/>
              <w:widowControl w:val="0"/>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p>
            <w:pPr>
              <w:spacing w:after="12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D: Nacionalni razlogi za izključitev</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i/>
                <w:sz w:val="20"/>
                <w:szCs w:val="20"/>
                <w:lang w:val="sl-si"/>
              </w:rPr>
            </w:pPr>
            <w:r>
              <w:rPr>
                <w:rFonts w:ascii="Verdana" w:hAnsi="Verdana"/>
                <w:i/>
                <w:sz w:val="20"/>
                <w:szCs w:val="20"/>
                <w:lang w:val="sl-si"/>
              </w:rPr>
              <w:t>1. Nacionalna določba – evidenca z negativnimi referencami</w:t>
            </w:r>
          </w:p>
          <w:p>
            <w:pPr>
              <w:spacing w:after="120" w:line="240" w:lineRule="auto"/>
              <w:jc w:val="both"/>
              <w:widowControl w:val="0"/>
              <w:rPr>
                <w:rFonts w:ascii="Verdana" w:hAnsi="Verdana"/>
                <w:sz w:val="20"/>
                <w:szCs w:val="20"/>
                <w:lang w:val="sl-si"/>
              </w:rPr>
            </w:pPr>
            <w:r>
              <w:rPr>
                <w:rFonts w:ascii="Verdana" w:hAnsi="Verdana"/>
                <w:sz w:val="20"/>
                <w:szCs w:val="20"/>
                <w:lang w:val="sl-si"/>
              </w:rPr>
              <w:t xml:space="preserve">Gospodarski subjekt na dan, ko poteče rok za oddajo ponudb ali prijav, ni uvrščen v evidenco gospodarskih subjektov z izrečenimi stranskimi sankcijami izločitve iz postopkov javnega naročanja iz 110. člena ZJN-3. </w:t>
            </w:r>
          </w:p>
          <w:p>
            <w:pPr>
              <w:spacing w:after="0" w:line="240" w:lineRule="auto"/>
              <w:jc w:val="both"/>
              <w:widowControl w:val="0"/>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cs="Arial"/>
                <w:i/>
                <w:sz w:val="20"/>
                <w:szCs w:val="20"/>
                <w:lang w:val="sl-si"/>
              </w:rPr>
            </w:pPr>
            <w:r>
              <w:rPr>
                <w:rFonts w:ascii="Verdana" w:hAnsi="Verdana" w:cs="Arial"/>
                <w:i/>
                <w:sz w:val="20"/>
                <w:szCs w:val="20"/>
                <w:lang w:val="sl-si"/>
              </w:rPr>
              <w:t>2. Nacionalna določba – prekršek v zvezi s plačili za delo</w:t>
            </w:r>
          </w:p>
          <w:p>
            <w:pPr>
              <w:spacing w:after="120" w:line="240" w:lineRule="auto"/>
              <w:jc w:val="both"/>
              <w:widowControl w:val="0"/>
              <w:rPr>
                <w:rFonts w:ascii="Verdana" w:hAnsi="Verdana" w:cs="Arial"/>
                <w:sz w:val="20"/>
                <w:szCs w:val="20"/>
                <w:lang w:val="sl-si"/>
              </w:rPr>
            </w:pPr>
            <w:r>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spacing w:after="0" w:line="240" w:lineRule="auto"/>
              <w:jc w:val="both"/>
              <w:widowControl w:val="0"/>
              <w:rPr>
                <w:rFonts w:ascii="Verdana" w:hAnsi="Verdana" w:cs="Arial"/>
                <w:sz w:val="20"/>
                <w:szCs w:val="20"/>
                <w:lang w:val="sl-si"/>
              </w:rPr>
            </w:pPr>
            <w:r>
              <w:rPr>
                <w:rFonts w:ascii="Verdana" w:hAnsi="Verdana" w:cs="Arial"/>
                <w:sz w:val="20"/>
                <w:szCs w:val="20"/>
                <w:lang w:val="sl-si"/>
              </w:rPr>
              <w:t>(pogoj mora izpolnjevati vsak gospodarski subjekt, ki bo vključen v izvedbo javnega naročila)</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POGOJI ZA SODELOVANJE</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A: Ustreznost</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i/>
                <w:sz w:val="20"/>
                <w:szCs w:val="20"/>
                <w:lang w:val="sl-si"/>
              </w:rPr>
            </w:pPr>
            <w:r>
              <w:rPr>
                <w:rFonts w:ascii="Verdana" w:hAnsi="Verdana"/>
                <w:i/>
                <w:sz w:val="20"/>
                <w:szCs w:val="20"/>
                <w:lang w:val="sl-si"/>
              </w:rPr>
              <w:t>1. Vpis v poslovni register</w:t>
            </w:r>
          </w:p>
          <w:p>
            <w:pPr>
              <w:spacing w:after="120" w:line="240" w:lineRule="auto"/>
              <w:jc w:val="both"/>
              <w:widowControl w:val="0"/>
              <w:rPr>
                <w:rFonts w:ascii="Verdana" w:hAnsi="Verdana"/>
                <w:sz w:val="20"/>
                <w:szCs w:val="20"/>
                <w:lang w:val="sl-si"/>
              </w:rPr>
            </w:pPr>
            <w:r>
              <w:rPr>
                <w:rFonts w:ascii="Verdana" w:hAnsi="Verdana"/>
                <w:sz w:val="20"/>
                <w:szCs w:val="20"/>
                <w:lang w:val="sl-si"/>
              </w:rPr>
              <w:t>Gospodarski subjekt je registriran za opravljanje dejavnosti, ki je predmet tega javnega naročila.</w:t>
            </w:r>
          </w:p>
          <w:p>
            <w:pPr>
              <w:spacing w:after="120" w:line="240" w:lineRule="auto"/>
              <w:jc w:val="both"/>
              <w:widowControl w:val="0"/>
              <w:rPr>
                <w:rFonts w:ascii="Verdana" w:hAnsi="Verdana"/>
                <w:sz w:val="20"/>
                <w:szCs w:val="20"/>
                <w:lang w:val="sl-si"/>
              </w:rPr>
            </w:pPr>
            <w:r>
              <w:rPr>
                <w:rFonts w:ascii="Verdana" w:hAnsi="Verdana"/>
                <w:sz w:val="20"/>
                <w:szCs w:val="20"/>
                <w:lang w:val="sl-si"/>
              </w:rPr>
              <w:t>Ponudnik razpolaga z avtorskimi in materialnimi pravicami za IS, ki ga ponuja.</w:t>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ponuja rešitev, ki izpolnjuje vse zahteve specifikacij.</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mora izpolnjevati pogoj za svoj del posla)</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B: Ekonomski in finančni položaj ter zavarovanje poklicne odgovornosti</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sz w:val="20"/>
                <w:szCs w:val="20"/>
              </w:rPr>
            </w:pPr>
            <w:r>
              <w:rPr>
                <w:rFonts w:ascii="Verdana" w:hAnsi="Verdana"/>
                <w:sz w:val="20"/>
                <w:szCs w:val="20"/>
                <w:lang w:val="sl-si"/>
              </w:rPr>
              <w:t>1. Splošni letni</w:t>
            </w:r>
            <w:r>
              <w:rPr>
                <w:rFonts w:ascii="Verdana" w:hAnsi="Verdana"/>
                <w:sz w:val="20"/>
                <w:lang w:val="sl-si"/>
              </w:rPr>
              <w:t xml:space="preserve"> </w:t>
            </w:r>
            <w:r>
              <w:rPr>
                <w:rFonts w:ascii="Verdana" w:hAnsi="Verdana"/>
                <w:sz w:val="20"/>
                <w:szCs w:val="20"/>
                <w:lang w:val="sl-si"/>
              </w:rPr>
              <w:t>promet/povprečni splošni letni</w:t>
            </w:r>
            <w:r>
              <w:rPr>
                <w:rFonts w:ascii="Verdana" w:hAnsi="Verdana"/>
                <w:sz w:val="20"/>
                <w:lang w:val="sl-si"/>
              </w:rPr>
              <w:t xml:space="preserve"> </w:t>
            </w:r>
            <w:r>
              <w:rPr>
                <w:rFonts w:ascii="Verdana" w:hAnsi="Verdana"/>
                <w:sz w:val="20"/>
                <w:szCs w:val="20"/>
                <w:lang w:val="sl-si"/>
              </w:rPr>
              <w:t xml:space="preserve">promet gospodarskega subjekta, v  letih 2018, 2019, 2020 znaša najmanj </w:t>
            </w:r>
            <w:r>
              <w:rPr>
                <w:sz w:val="20"/>
                <w:szCs w:val="20"/>
              </w:rPr>
              <w:t xml:space="preserve">2 </w:t>
            </w:r>
            <w:r>
              <w:rPr>
                <w:rFonts w:ascii="Verdana" w:hAnsi="Verdana"/>
                <w:sz w:val="20"/>
                <w:szCs w:val="20"/>
                <w:lang w:val="sl-si"/>
              </w:rPr>
              <w:t xml:space="preserve">milijona </w:t>
            </w:r>
            <w:r>
              <w:rPr>
                <w:rFonts w:ascii="Verdana" w:hAnsi="Verdana"/>
                <w:sz w:val="20"/>
                <w:szCs w:val="20"/>
              </w:rPr>
              <w:t>EUR</w:t>
            </w:r>
            <w:r>
              <w:t xml:space="preserve"> letno.</w:t>
            </w:r>
            <w:r>
              <w:rPr>
                <w:sz w:val="20"/>
                <w:szCs w:val="20"/>
              </w:rPr>
            </w:r>
          </w:p>
          <w:p>
            <w:pPr>
              <w:spacing w:after="0" w:line="240" w:lineRule="auto"/>
              <w:jc w:val="both"/>
              <w:widowControl w:val="0"/>
              <w:rPr>
                <w:rFonts w:ascii="Verdana" w:hAnsi="Verdana"/>
                <w:sz w:val="20"/>
                <w:szCs w:val="20"/>
                <w:lang w:val="sl-si"/>
              </w:rPr>
            </w:pPr>
            <w:r>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p>
            <w:pPr>
              <w:spacing w:after="0" w:line="240" w:lineRule="auto"/>
              <w:jc w:val="both"/>
              <w:widowControl w:val="0"/>
              <w:rPr>
                <w:rFonts w:ascii="Verdana" w:hAnsi="Verdana"/>
                <w:highlight w:val="lightGray"/>
                <w:sz w:val="20"/>
                <w:szCs w:val="20"/>
                <w:lang w:val="sl-si"/>
              </w:rPr>
            </w:pPr>
            <w:r>
              <w:rPr>
                <w:rFonts w:ascii="Verdana" w:hAnsi="Verdana"/>
                <w:highlight w:val="lightGray"/>
                <w:sz w:val="20"/>
                <w:szCs w:val="20"/>
                <w:lang w:val="sl-si"/>
              </w:rPr>
            </w:r>
          </w:p>
          <w:p>
            <w:pPr>
              <w:spacing w:after="0" w:line="240" w:lineRule="auto"/>
              <w:jc w:val="both"/>
              <w:widowControl w:val="0"/>
              <w:rPr>
                <w:rFonts w:ascii="Verdana" w:hAnsi="Verdana"/>
                <w:highlight w:val="lightGray"/>
                <w:sz w:val="20"/>
                <w:szCs w:val="20"/>
                <w:lang w:val="sl-si"/>
              </w:rPr>
            </w:pPr>
            <w:r>
              <w:rPr>
                <w:rFonts w:ascii="Verdana" w:hAnsi="Verdana"/>
                <w:sz w:val="20"/>
                <w:szCs w:val="20"/>
                <w:lang w:val="sl-si"/>
              </w:rPr>
              <w:t>Gospodarski subjekt potrdi izpolnjevanje pogoja s predložitvijo izpolnjenega obrazca ESPD  ter izpolnjenega obrazca ePro-Reference, kadri in ostali pogoji.</w:t>
            </w:r>
            <w:r>
              <w:rPr>
                <w:rFonts w:ascii="Verdana" w:hAnsi="Verdana"/>
                <w:highlight w:val="lightGray"/>
                <w:sz w:val="20"/>
                <w:szCs w:val="20"/>
                <w:lang w:val="sl-si"/>
              </w:rPr>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2. Posebni letni promet/čisti povprečni posebni letni promet na področju poslovanja, zajetem v javnem naročilu gospodarskega subjekta, v  letih 2018, 2019, 2020 znaša najmanj 500.000  EUR letno.</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(v primeru skupne ponudbe lahko pogoj izpolnjujejo partnerji skupaj; naročnik zahteva solidarno odgovornost drugega subjekta v primeru sklicevanja na njegove zmogljivosti)</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  ter izpolnjenega obrazca ePro-Reference, kadri in ostali pogoji.</w:t>
            </w:r>
          </w:p>
        </w:tc>
      </w:tr>
      <w:tr>
        <w:trPr>
          <w:tblHeader w:val="0"/>
          <w:cantSplit w:val="0"/>
          <w:trHeight w:val="20" w:hRule="atLeast"/>
        </w:trPr>
        <w:tc>
          <w:tcPr>
            <w:tcW w:w="969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C: Tehnična in strokovna sposobnost</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 xml:space="preserve">1. Gospodarski subjekt je v letih 2019, 2020 in 2021 uspešno vzdrževal in izvajal nadgradnje informacijskega sistema s področja zdravja, ki podpira samoprijavo in potrjevanje sprejema pacientov, ambulanto zdravljenje, specialistično zdravljenje, bolnišnično zdravljenje, spremljanje in izvedbo zdravljenja in terapij, analize in statistiko, povezavo z zdravstvenim zavarovanjem, obračuni in plačili, povezavo z dokumentarnim informacijskim sistemom in elektronsko pošto, akreditirano elektronsko hrambo dokumentov ter samodejno obračunavanje in izdajanje računov. </w:t>
            </w:r>
          </w:p>
          <w:p>
            <w:pPr>
              <w:spacing w:after="0" w:line="240" w:lineRule="auto"/>
              <w:jc w:val="both"/>
              <w:widowControl w:val="0"/>
              <w:rPr>
                <w:rFonts w:ascii="Verdana" w:hAnsi="Verdana"/>
                <w:sz w:val="20"/>
                <w:lang w:val="sl-si"/>
              </w:rPr>
            </w:pPr>
            <w:r>
              <w:rPr>
                <w:rFonts w:ascii="Verdana" w:hAnsi="Verdana"/>
                <w:sz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(v primeru skupne ponudbe lahko pogoj izpolnjujejo partnerji skupaj; v primeru sklicevanja na zmogljivosti drugih subjektov morajo slednji izvajati storitve v delu za katere se zahtevajo te zmogljivosti. Ponudnik lahko izpolni pogoj tudi s podizvajalci.)</w:t>
            </w:r>
          </w:p>
          <w:p>
            <w:pPr>
              <w:spacing w:after="0" w:line="240" w:lineRule="auto"/>
              <w:jc w:val="both"/>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  ter izpolnjenega obrazca ePro- Reference, kadri in ostali pogoji.</w:t>
            </w:r>
          </w:p>
        </w:tc>
      </w:tr>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2. Izobrazba in strokovna usposobljenost</w:t>
            </w:r>
          </w:p>
          <w:p>
            <w:pPr>
              <w:spacing w:after="120" w:line="240" w:lineRule="auto"/>
              <w:jc w:val="both"/>
              <w:widowControl w:val="0"/>
              <w:rPr>
                <w:rFonts w:ascii="Verdana" w:hAnsi="Verdana"/>
                <w:sz w:val="20"/>
                <w:lang w:val="sl-si"/>
              </w:rPr>
            </w:pPr>
            <w:r>
              <w:rPr>
                <w:rFonts w:ascii="Verdana" w:hAnsi="Verdana"/>
                <w:sz w:val="20"/>
                <w:szCs w:val="20"/>
                <w:lang w:val="sl-si"/>
              </w:rPr>
              <w:t>Gospodarski subjekt ima na voljo naslednje strokovnjake:</w:t>
            </w:r>
            <w:r>
              <w:rPr>
                <w:rFonts w:ascii="Verdana" w:hAnsi="Verdana"/>
                <w:sz w:val="20"/>
                <w:lang w:val="sl-si"/>
              </w:rPr>
            </w:r>
          </w:p>
          <w:p>
            <w:pPr>
              <w:pStyle w:val="para38"/>
              <w:numPr>
                <w:ilvl w:val="0"/>
                <w:numId w:val="1"/>
              </w:numPr>
              <w:ind w:left="483" w:hanging="483"/>
              <w:spacing w:after="120" w:line="240" w:lineRule="auto"/>
              <w:jc w:val="both"/>
              <w:widowControl w:val="0"/>
              <w:rPr>
                <w:rFonts w:ascii="Verdana" w:hAnsi="Verdana"/>
                <w:sz w:val="20"/>
                <w:szCs w:val="20"/>
                <w:lang w:val="sl-si"/>
              </w:rPr>
            </w:pPr>
            <w:r>
              <w:rPr>
                <w:rFonts w:ascii="Verdana" w:hAnsi="Verdana"/>
                <w:sz w:val="20"/>
                <w:szCs w:val="20"/>
                <w:lang w:val="sl-si"/>
              </w:rPr>
              <w:t>vodjo projekta s 4 leti delovnih izkušenj na področju vodenja projektov in 3 leti na področju zdravstvenih informacijskih sistemov, ki podpirajo elektronsko poslovanje, samoprijavo in potrjevanje sprejema pacientov, ambulanto zdravljenje, specialistično zdravljenje, bolnišnično zdravljenje, spremljanje in izvedbo zdravljenja in terapij, analize in statistiko, povezavo z zdravstvenim zavarovanjem, obračuni in plačili, povezavo z dokumentarnim informacijskim sistemom in elektronsko pošto, akreditirano elektronsko hrambo dokumentov ter samodejno obračunavanje in izdajanje računov;</w:t>
            </w:r>
          </w:p>
          <w:p>
            <w:pPr>
              <w:pStyle w:val="para38"/>
              <w:numPr>
                <w:ilvl w:val="0"/>
                <w:numId w:val="1"/>
              </w:numPr>
              <w:ind w:left="483" w:hanging="483"/>
              <w:spacing w:after="120" w:line="240" w:lineRule="auto"/>
              <w:jc w:val="both"/>
              <w:widowControl w:val="0"/>
              <w:rPr>
                <w:rFonts w:ascii="Verdana" w:hAnsi="Verdana"/>
                <w:sz w:val="20"/>
                <w:lang w:val="sl-si"/>
              </w:rPr>
            </w:pPr>
            <w:r>
              <w:rPr>
                <w:rFonts w:ascii="Verdana" w:hAnsi="Verdana"/>
                <w:sz w:val="20"/>
                <w:szCs w:val="20"/>
                <w:lang w:val="sl-si"/>
              </w:rPr>
              <w:t xml:space="preserve">sistemskega analitika s 4 leti delovnih izkušenj kot sistemski analitik, od tega 3 leta na področju sistemske analize za zdravstvene informacijske sisteme, ki podpirajo elektronsko poslovanje, samoprijavo in potrjevanje sprejema pacientov, ambulanto zdravljenje, specialistično zdravljenje, bolnišnično zdravljenje, spremljanje in izvedbo zdravljenja in terapij, analize in statistiko, povezavo z zdravstvenim zavarovanjem, obračuni in plačili, povezavo z dokumentarnim informacijskim sistemom in elektronsko pošto, akreditirano elektronsko hrambo dokumentov ter samodejno obračunavanje in izdajanje računov; </w:t>
            </w:r>
            <w:r>
              <w:rPr>
                <w:rFonts w:ascii="Verdana" w:hAnsi="Verdana"/>
                <w:sz w:val="20"/>
                <w:lang w:val="sl-si"/>
              </w:rPr>
            </w:r>
          </w:p>
          <w:p>
            <w:pPr>
              <w:pStyle w:val="para38"/>
              <w:numPr>
                <w:ilvl w:val="0"/>
                <w:numId w:val="1"/>
              </w:numPr>
              <w:ind w:left="483" w:hanging="483"/>
              <w:spacing w:after="120" w:line="240" w:lineRule="auto"/>
              <w:jc w:val="both"/>
              <w:widowControl w:val="0"/>
              <w:rPr>
                <w:rFonts w:ascii="Verdana" w:hAnsi="Verdana"/>
                <w:sz w:val="20"/>
                <w:szCs w:val="20"/>
                <w:lang w:val="sl-si"/>
              </w:rPr>
            </w:pPr>
            <w:r>
              <w:rPr>
                <w:rFonts w:ascii="Verdana" w:hAnsi="Verdana"/>
                <w:sz w:val="20"/>
                <w:szCs w:val="20"/>
                <w:lang w:val="sl-si"/>
              </w:rPr>
              <w:t>4 programerje s 3 leti delovnih izkušenj iz programiranja v tehnologiji core rešitve;</w:t>
            </w:r>
          </w:p>
          <w:p>
            <w:pPr>
              <w:pStyle w:val="para38"/>
              <w:numPr>
                <w:ilvl w:val="0"/>
                <w:numId w:val="1"/>
              </w:numPr>
              <w:ind w:left="483" w:hanging="483"/>
              <w:spacing w:after="120" w:line="240" w:lineRule="auto"/>
              <w:jc w:val="both"/>
              <w:widowControl w:val="0"/>
              <w:rPr>
                <w:rFonts w:ascii="Verdana" w:hAnsi="Verdana"/>
                <w:sz w:val="20"/>
                <w:szCs w:val="20"/>
                <w:lang w:val="sl-si"/>
              </w:rPr>
            </w:pPr>
            <w:r>
              <w:rPr>
                <w:rFonts w:ascii="Verdana" w:hAnsi="Verdana"/>
                <w:sz w:val="20"/>
                <w:szCs w:val="20"/>
                <w:lang w:val="sl-si"/>
              </w:rPr>
              <w:t>2 strokovnjaka za področje varstva podatkov z ustreznim certifikatom s tega področja skladno z veljavno zakonodajo o varstvu osebnih podatkov.</w:t>
            </w:r>
          </w:p>
          <w:p>
            <w:pPr>
              <w:pStyle w:val="para38"/>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8"/>
              <w:ind w:left="0"/>
              <w:spacing w:after="120" w:line="240" w:lineRule="auto"/>
              <w:jc w:val="both"/>
              <w:widowControl w:val="0"/>
              <w:rPr>
                <w:rFonts w:ascii="Verdana" w:hAnsi="Verdana"/>
                <w:sz w:val="20"/>
                <w:szCs w:val="20"/>
                <w:lang w:val="sl-si"/>
              </w:rPr>
            </w:pPr>
            <w:r>
              <w:rPr>
                <w:rFonts w:ascii="Verdana" w:hAnsi="Verdana"/>
                <w:sz w:val="20"/>
                <w:szCs w:val="20"/>
                <w:lang w:val="sl-si"/>
              </w:rPr>
              <w:t>(v primeru skupne ponudbe lahko pogoj izpolnjujejo partnerji skupaj; v primeru sklicevanja na zmogljivosti drugih subjektov morajo slednji zagotavljati storitve v delu za katere se zahtevajo te zmogljivosti. Ponudnik lahko izpolni pogoj tudi s podizvajalci.)</w:t>
            </w:r>
          </w:p>
          <w:p>
            <w:pPr>
              <w:spacing w:after="120" w:line="240" w:lineRule="auto"/>
              <w:jc w:val="both"/>
              <w:widowControl w:val="0"/>
              <w:rPr>
                <w:rFonts w:ascii="Verdana" w:hAnsi="Verdana"/>
                <w:sz w:val="20"/>
                <w:szCs w:val="20"/>
                <w:lang w:val="sl-si"/>
              </w:rPr>
            </w:pPr>
            <w:r>
              <w:rPr>
                <w:rFonts w:ascii="Verdana" w:hAnsi="Verdana"/>
                <w:sz w:val="20"/>
                <w:szCs w:val="20"/>
                <w:lang w:val="sl-si"/>
              </w:rPr>
              <w:t>Gospodarski subjekt potrdi izpolnjevanje pogoja s predložitvijo izpolnjenega obrazca ESPD ter</w:t>
            </w:r>
          </w:p>
          <w:p>
            <w:pPr>
              <w:spacing w:after="120" w:line="240" w:lineRule="auto"/>
              <w:jc w:val="both"/>
              <w:widowControl w:val="0"/>
              <w:rPr>
                <w:rFonts w:ascii="Verdana" w:hAnsi="Verdana"/>
                <w:sz w:val="20"/>
                <w:szCs w:val="20"/>
                <w:lang w:val="sl-si"/>
              </w:rPr>
            </w:pPr>
            <w:r>
              <w:rPr>
                <w:rFonts w:ascii="Verdana" w:hAnsi="Verdana"/>
                <w:sz w:val="20"/>
                <w:szCs w:val="20"/>
                <w:lang w:val="sl-si"/>
              </w:rPr>
              <w:t>izpolnjenega obrazca Reference, kadri in ostali pogoji.</w:t>
            </w:r>
          </w:p>
        </w:tc>
      </w:tr>
    </w:tbl>
    <w:p>
      <w:pPr>
        <w:spacing w:after="0" w:line="240" w:lineRule="auto"/>
        <w:rPr>
          <w:rFonts w:ascii="Verdana" w:hAnsi="Verdana"/>
          <w:b/>
          <w:sz w:val="20"/>
          <w:szCs w:val="20"/>
          <w:lang w:val="sl-si"/>
        </w:rPr>
      </w:pPr>
      <w:r>
        <w:rPr>
          <w:rFonts w:ascii="Verdana" w:hAnsi="Verdana"/>
          <w:b/>
          <w:sz w:val="20"/>
          <w:szCs w:val="20"/>
          <w:lang w:val="sl-si"/>
        </w:rPr>
      </w:r>
    </w:p>
    <w:p>
      <w:pPr>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OCENJEVANJE PONUDB</w:t>
      </w:r>
    </w:p>
    <w:tbl>
      <w:tblPr>
        <w:tblStyle w:val="TableNormal"/>
        <w:name w:val="Table10"/>
        <w:tabOrder w:val="0"/>
        <w:jc w:val="center"/>
        <w:tblInd w:w="0" w:type="dxa"/>
        <w:tblW w:w="9694" w:type="dxa"/>
        <w:tblLook w:val="04A0" w:firstRow="1" w:lastRow="0" w:firstColumn="1" w:lastColumn="0" w:noHBand="0" w:noVBand="1"/>
      </w:tblPr>
      <w:tblGrid>
        <w:gridCol w:w="4114"/>
        <w:gridCol w:w="5580"/>
      </w:tblGrid>
      <w:tr>
        <w:trPr>
          <w:tblHeader w:val="0"/>
          <w:cantSplit w:val="0"/>
          <w:trHeight w:val="20" w:hRule="atLeast"/>
        </w:trPr>
        <w:tc>
          <w:tcPr>
            <w:tcW w:w="9694" w:type="dxa"/>
            <w:gridSpan w:val="2"/>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t>Naročnik bo izbral ekonomsko najugodnejšo ponudbo v skladu s spodaj navedenimi merili</w:t>
            </w:r>
          </w:p>
        </w:tc>
      </w:tr>
      <w:tr>
        <w:trPr>
          <w:tblHeader w:val="0"/>
          <w:cantSplit w:val="0"/>
          <w:trHeight w:val="20" w:hRule="atLeast"/>
        </w:trPr>
        <w:tc>
          <w:tcPr>
            <w:tcW w:w="411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sz w:val="20"/>
                <w:szCs w:val="20"/>
                <w:lang w:val="sl-si"/>
              </w:rPr>
            </w:pPr>
            <w:r>
              <w:rPr>
                <w:rFonts w:ascii="Verdana" w:hAnsi="Verdana"/>
                <w:sz w:val="20"/>
                <w:szCs w:val="20"/>
                <w:lang w:val="sl-si"/>
              </w:rPr>
              <w:t>Meril za izbiro</w:t>
            </w:r>
          </w:p>
        </w:tc>
        <w:tc>
          <w:tcPr>
            <w:tcW w:w="55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b/>
                <w:bCs/>
                <w:sz w:val="20"/>
                <w:szCs w:val="20"/>
                <w:lang w:val="sl-si"/>
              </w:rPr>
            </w:pPr>
            <w:r>
              <w:rPr>
                <w:rFonts w:ascii="Verdana" w:hAnsi="Verdana"/>
                <w:b/>
                <w:bCs/>
                <w:sz w:val="20"/>
                <w:szCs w:val="20"/>
                <w:lang w:val="sl-si"/>
              </w:rPr>
              <w:t>M1: SKUPNA PONUDBENA CENA (v EUR brez DDV):</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Skupna ponudbena cena - 50 točk;</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Pri čemer je:</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M1= (Cmin / CponX) x 50</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M1= število točk, ki jih prejme ocenjevani ponudnik.</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Cmin = najnižja skupna ponudbena vrednost med vsemi prejetimi ponudbami</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CponX = ponudnikova ponujena vrednost</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M2: CERTIFIKAT SISTEMA VODENJA KAKOVOSTI (kot je na primer ISO 9001, EUROREC…): 10 točk, vendar največ 10 točk.</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M3: IZKUŠNJE KADRA: skupaj največ 40 točk, od tega:</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M3.1.Izkušnje vodje projekta</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Navedeni vodja projekta je predhodno uspešno vodil projekte integracije informacijskih sistemov za podporo zdravstvu: </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pStyle w:val="para38"/>
              <w:numPr>
                <w:ilvl w:val="0"/>
                <w:numId w:val="7"/>
              </w:numPr>
              <w:ind w:left="360" w:hanging="360"/>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za vsak uspešno vzpostavljen sistem,1 točka in največ 5 točk; </w:t>
            </w:r>
          </w:p>
          <w:p>
            <w:pPr>
              <w:pStyle w:val="para38"/>
              <w:ind w:left="360"/>
              <w:spacing w:after="0" w:line="240" w:lineRule="auto"/>
              <w:jc w:val="both"/>
              <w:widowControl w:val="0"/>
              <w:rPr>
                <w:rFonts w:ascii="Verdana" w:hAnsi="Verdana"/>
                <w:b/>
                <w:bCs/>
                <w:sz w:val="20"/>
                <w:szCs w:val="20"/>
                <w:lang w:val="sl-si"/>
              </w:rPr>
            </w:pPr>
            <w:r>
              <w:rPr>
                <w:rFonts w:ascii="Verdana" w:hAnsi="Verdana"/>
                <w:b/>
                <w:bCs/>
                <w:sz w:val="20"/>
                <w:szCs w:val="20"/>
                <w:lang w:val="sl-si"/>
              </w:rPr>
              <w:t>ALI</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pStyle w:val="para38"/>
              <w:numPr>
                <w:ilvl w:val="0"/>
                <w:numId w:val="7"/>
              </w:numPr>
              <w:ind w:left="360" w:hanging="360"/>
              <w:spacing w:after="0" w:line="240" w:lineRule="auto"/>
              <w:jc w:val="both"/>
              <w:widowControl w:val="0"/>
              <w:rPr>
                <w:rFonts w:ascii="Verdana" w:hAnsi="Verdana"/>
                <w:b/>
                <w:bCs/>
                <w:sz w:val="20"/>
                <w:szCs w:val="20"/>
                <w:lang w:val="sl-si"/>
              </w:rPr>
            </w:pPr>
            <w:r>
              <w:rPr>
                <w:rFonts w:ascii="Verdana" w:hAnsi="Verdana"/>
                <w:b/>
                <w:bCs/>
                <w:sz w:val="20"/>
                <w:szCs w:val="20"/>
                <w:lang w:val="sl-si"/>
              </w:rPr>
              <w:t>za vsak uspešno vzpostavljen sistem, enak kot je ponujena rešitev in podpira  e-recept, e-naročanje, CRPP, preverjanje obveznega in prostovoljnega zdravstvenega zavarovanja ter vpis pacienta v čakalno vrsto 4 točke in največ 20 točk.</w:t>
            </w:r>
          </w:p>
          <w:p>
            <w:pPr>
              <w:pStyle w:val="para38"/>
              <w:ind w:left="360"/>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Pri tem merilu (po prvi in drugi alineji skupaj) je možnih skupaj doseči največ 20 točk. </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M3.2.Izkušnje sistemskega analitika</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Navedeni sistemski analitik je predhodno uspešno v tej funkciji sodeloval pri projektih integracije informacijskih sistemov za podporo zdravstvu: </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pStyle w:val="para38"/>
              <w:numPr>
                <w:ilvl w:val="0"/>
                <w:numId w:val="7"/>
              </w:numPr>
              <w:ind w:left="360" w:hanging="360"/>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za vsak uspešno vzpostavljen sistem, 1 točka in največ 5 točk; </w:t>
            </w:r>
          </w:p>
          <w:p>
            <w:pPr>
              <w:pStyle w:val="para38"/>
              <w:ind w:left="0"/>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pStyle w:val="para38"/>
              <w:ind w:left="360"/>
              <w:spacing w:after="0" w:line="240" w:lineRule="auto"/>
              <w:jc w:val="both"/>
              <w:widowControl w:val="0"/>
              <w:rPr>
                <w:rFonts w:ascii="Verdana" w:hAnsi="Verdana"/>
                <w:b/>
                <w:bCs/>
                <w:sz w:val="20"/>
                <w:szCs w:val="20"/>
                <w:lang w:val="sl-si"/>
              </w:rPr>
            </w:pPr>
            <w:r>
              <w:rPr>
                <w:rFonts w:ascii="Verdana" w:hAnsi="Verdana"/>
                <w:b/>
                <w:bCs/>
                <w:sz w:val="20"/>
                <w:szCs w:val="20"/>
                <w:lang w:val="sl-si"/>
              </w:rPr>
              <w:t>ALI</w:t>
            </w:r>
          </w:p>
          <w:p>
            <w:pPr>
              <w:pStyle w:val="para38"/>
              <w:ind w:left="0"/>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pStyle w:val="para38"/>
              <w:numPr>
                <w:ilvl w:val="0"/>
                <w:numId w:val="7"/>
              </w:numPr>
              <w:ind w:left="360" w:hanging="360"/>
              <w:spacing w:after="0" w:line="240" w:lineRule="auto"/>
              <w:jc w:val="both"/>
              <w:widowControl w:val="0"/>
              <w:rPr>
                <w:rFonts w:ascii="Verdana" w:hAnsi="Verdana"/>
                <w:b/>
                <w:bCs/>
                <w:sz w:val="20"/>
                <w:szCs w:val="20"/>
                <w:lang w:val="sl-si"/>
              </w:rPr>
            </w:pPr>
            <w:r>
              <w:rPr>
                <w:rFonts w:ascii="Verdana" w:hAnsi="Verdana"/>
                <w:b/>
                <w:bCs/>
                <w:sz w:val="20"/>
                <w:szCs w:val="20"/>
                <w:lang w:val="sl-si"/>
              </w:rPr>
              <w:t>za vsak uspešno vzpostavljen sistem, enak kot je ponujena rešitev, ki podpira  e-recept, e-naročanje, CRPP, preverjanje obveznega in prostovoljnega zdravstvenega zavarovanja ter vpis pacienta v čakalno vrsto 4 točke in največ 20 točk.</w:t>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r>
          </w:p>
          <w:p>
            <w:pPr>
              <w:spacing w:after="0" w:line="240" w:lineRule="auto"/>
              <w:jc w:val="both"/>
              <w:widowControl w:val="0"/>
              <w:rPr>
                <w:rFonts w:ascii="Verdana" w:hAnsi="Verdana"/>
                <w:b/>
                <w:bCs/>
                <w:sz w:val="20"/>
                <w:szCs w:val="20"/>
                <w:lang w:val="sl-si"/>
              </w:rPr>
            </w:pPr>
            <w:r>
              <w:rPr>
                <w:rFonts w:ascii="Verdana" w:hAnsi="Verdana"/>
                <w:b/>
                <w:bCs/>
                <w:sz w:val="20"/>
                <w:szCs w:val="20"/>
                <w:lang w:val="sl-si"/>
              </w:rPr>
              <w:t xml:space="preserve">Pri tem merilu (po prvi in drugi alineji skupaj)  je možno doseči skupaj 20 največ točk. </w:t>
            </w:r>
          </w:p>
          <w:p>
            <w:pPr>
              <w:spacing w:after="0" w:line="240" w:lineRule="auto"/>
              <w:jc w:val="both"/>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4114"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widowControl w:val="0"/>
              <w:rPr>
                <w:rFonts w:ascii="Verdana" w:hAnsi="Verdana"/>
                <w:highlight w:val="lightGray"/>
                <w:sz w:val="20"/>
                <w:szCs w:val="20"/>
                <w:lang w:val="sl-si"/>
              </w:rPr>
            </w:pPr>
            <w:r>
              <w:rPr>
                <w:rFonts w:ascii="Verdana" w:hAnsi="Verdana"/>
                <w:sz w:val="20"/>
                <w:szCs w:val="20"/>
                <w:lang w:val="sl-si"/>
              </w:rPr>
              <w:t>Pravilo v primeru enakovrednih ponudb</w:t>
            </w:r>
            <w:r>
              <w:rPr>
                <w:rFonts w:ascii="Verdana" w:hAnsi="Verdana"/>
                <w:highlight w:val="lightGray"/>
                <w:sz w:val="20"/>
                <w:szCs w:val="20"/>
                <w:lang w:val="sl-si"/>
              </w:rPr>
            </w:r>
          </w:p>
        </w:tc>
        <w:tc>
          <w:tcPr>
            <w:tcW w:w="5580"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Najnižja ponudbena cena.</w:t>
            </w:r>
          </w:p>
        </w:tc>
      </w:tr>
    </w:tbl>
    <w:p>
      <w:pPr>
        <w:spacing w:after="0" w:line="240" w:lineRule="auto"/>
        <w:rPr>
          <w:rFonts w:ascii="Verdana" w:hAnsi="Verdana"/>
          <w:b/>
          <w:sz w:val="20"/>
          <w:szCs w:val="20"/>
          <w:lang w:val="sl-si"/>
        </w:rPr>
      </w:pPr>
      <w:r>
        <w:rPr>
          <w:rFonts w:ascii="Verdana" w:hAnsi="Verdana"/>
          <w:b/>
          <w:sz w:val="20"/>
          <w:szCs w:val="20"/>
          <w:lang w:val="sl-si"/>
        </w:rPr>
      </w:r>
    </w:p>
    <w:p>
      <w:pPr>
        <w:pStyle w:val="para38"/>
        <w:numPr>
          <w:ilvl w:val="0"/>
          <w:numId w:val="2"/>
        </w:numPr>
        <w:ind w:left="357" w:hanging="357"/>
        <w:spacing w:after="0" w:line="240" w:lineRule="auto"/>
        <w:rPr>
          <w:rFonts w:ascii="Verdana" w:hAnsi="Verdana"/>
          <w:b/>
          <w:sz w:val="20"/>
          <w:szCs w:val="20"/>
          <w:lang w:val="sl-si"/>
        </w:rPr>
      </w:pPr>
      <w:r>
        <w:rPr>
          <w:rFonts w:ascii="Verdana" w:hAnsi="Verdana"/>
          <w:b/>
          <w:sz w:val="20"/>
          <w:szCs w:val="20"/>
          <w:lang w:val="sl-si"/>
        </w:rPr>
        <w:t>PRAVNO VARSTVO</w:t>
      </w:r>
    </w:p>
    <w:tbl>
      <w:tblPr>
        <w:tblStyle w:val="TableNormal"/>
        <w:name w:val="Table11"/>
        <w:tabOrder w:val="0"/>
        <w:jc w:val="center"/>
        <w:tblInd w:w="0" w:type="dxa"/>
        <w:tblW w:w="9694" w:type="dxa"/>
        <w:tblLook w:val="04A0" w:firstRow="1" w:lastRow="0" w:firstColumn="1" w:lastColumn="0" w:noHBand="0" w:noVBand="1"/>
      </w:tblPr>
      <w:tblGrid>
        <w:gridCol w:w="9694"/>
      </w:tblGrid>
      <w:tr>
        <w:trPr>
          <w:tblHeader w:val="0"/>
          <w:cantSplit w:val="0"/>
          <w:trHeight w:val="20" w:hRule="atLeast"/>
        </w:trPr>
        <w:tc>
          <w:tcPr>
            <w:tcW w:w="9694"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120" w:line="240" w:lineRule="auto"/>
              <w:jc w:val="both"/>
              <w:widowControl w:val="0"/>
              <w:rPr>
                <w:rFonts w:ascii="Verdana" w:hAnsi="Verdana"/>
                <w:bCs/>
                <w:sz w:val="20"/>
                <w:szCs w:val="20"/>
                <w:lang w:val="sl-si"/>
              </w:rPr>
            </w:pPr>
            <w:r>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pPr>
              <w:spacing w:after="120" w:line="240" w:lineRule="auto"/>
              <w:jc w:val="both"/>
              <w:widowControl w:val="0"/>
              <w:rPr>
                <w:rFonts w:ascii="Verdana" w:hAnsi="Verdana"/>
                <w:bCs/>
                <w:sz w:val="20"/>
                <w:szCs w:val="20"/>
                <w:lang w:val="sl-si"/>
              </w:rPr>
            </w:pPr>
            <w:r>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pPr>
              <w:spacing w:after="120" w:line="240" w:lineRule="auto"/>
              <w:jc w:val="both"/>
              <w:widowControl w:val="0"/>
              <w:rPr>
                <w:rFonts w:ascii="Verdana" w:hAnsi="Verdana"/>
                <w:bCs/>
                <w:sz w:val="20"/>
                <w:szCs w:val="20"/>
                <w:lang w:val="sl-si"/>
              </w:rPr>
            </w:pPr>
            <w:r>
              <w:rPr>
                <w:rFonts w:ascii="Verdana" w:hAnsi="Verdana"/>
                <w:bCs/>
                <w:sz w:val="20"/>
                <w:szCs w:val="20"/>
                <w:lang w:val="sl-si"/>
              </w:rPr>
              <w:t>Zahtevek za revizijo mora vsebovati vse obvezne sestavine iz 15. člena ZPVPJN. Vlagatelj zahtevek za revizijo vloži preko portala eRevizija.</w:t>
            </w:r>
          </w:p>
          <w:p>
            <w:pPr>
              <w:spacing w:after="0" w:line="240" w:lineRule="auto"/>
              <w:jc w:val="both"/>
              <w:widowControl w:val="0"/>
              <w:rPr>
                <w:rFonts w:ascii="Verdana" w:hAnsi="Verdana"/>
                <w:bCs/>
                <w:sz w:val="20"/>
                <w:szCs w:val="20"/>
                <w:lang w:val="sl-si"/>
              </w:rPr>
            </w:pPr>
            <w:r>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pPr>
        <w:spacing w:after="0" w:line="240" w:lineRule="auto"/>
        <w:rPr>
          <w:rFonts w:ascii="Verdana" w:hAnsi="Verdana"/>
          <w:b/>
          <w:sz w:val="20"/>
          <w:szCs w:val="20"/>
          <w:lang w:val="sl-si"/>
        </w:rPr>
      </w:pPr>
      <w:r>
        <w:rPr>
          <w:rFonts w:ascii="Verdana" w:hAnsi="Verdana"/>
          <w:b/>
          <w:sz w:val="20"/>
          <w:szCs w:val="20"/>
          <w:lang w:val="sl-si"/>
        </w:rPr>
      </w:r>
    </w:p>
    <w:p>
      <w:pPr>
        <w:spacing w:after="0" w:line="240" w:lineRule="auto"/>
        <w:rPr>
          <w:rFonts w:ascii="Verdana" w:hAnsi="Verdana"/>
          <w:b/>
          <w:sz w:val="20"/>
          <w:szCs w:val="20"/>
          <w:lang w:val="sl-si"/>
        </w:rPr>
      </w:pPr>
      <w:r>
        <w:rPr>
          <w:rFonts w:ascii="Verdana" w:hAnsi="Verdana"/>
          <w:b/>
          <w:sz w:val="20"/>
          <w:szCs w:val="20"/>
          <w:lang w:val="sl-si"/>
        </w:rPr>
      </w:r>
    </w:p>
    <w:tbl>
      <w:tblPr>
        <w:tblStyle w:val="TableNormal"/>
        <w:name w:val="Table12"/>
        <w:tabOrder w:val="0"/>
        <w:jc w:val="center"/>
        <w:tblInd w:w="0" w:type="dxa"/>
        <w:tblW w:w="9693" w:type="dxa"/>
        <w:tblLook w:val="04A0" w:firstRow="1" w:lastRow="0" w:firstColumn="1" w:lastColumn="0" w:noHBand="0" w:noVBand="1"/>
      </w:tblPr>
      <w:tblGrid>
        <w:gridCol w:w="4847"/>
        <w:gridCol w:w="4846"/>
      </w:tblGrid>
      <w:tr>
        <w:trPr>
          <w:tblHeader w:val="0"/>
          <w:cantSplit w:val="0"/>
          <w:trHeight w:val="20" w:hRule="atLeast"/>
        </w:trPr>
        <w:tc>
          <w:tcPr>
            <w:tcW w:w="4847" w:type="dxa"/>
            <w:shd w:val="none"/>
            <w:tcMar>
              <w:top w:w="108" w:type="dxa"/>
              <w:left w:w="108" w:type="dxa"/>
              <w:bottom w:w="108" w:type="dxa"/>
              <w:right w:w="108" w:type="dxa"/>
            </w:tcMar>
            <w:tcBorders>
              <w:right w:val="single" w:sz="4" w:space="0" w:color="000000" tmln="10, 20, 20, 0, 0"/>
            </w:tcBorders>
            <w:tmTcPr id="164250573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r>
          </w:p>
        </w:tc>
        <w:tc>
          <w:tcPr>
            <w:tcW w:w="4846" w:type="dxa"/>
            <w:vAlign w:val="center"/>
            <w:shd w:val="solid" w:color="FDB940" tmshd="6553856, 4241917,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Zastopnik / pooblaščenec naročnika</w:t>
            </w:r>
          </w:p>
        </w:tc>
      </w:tr>
      <w:tr>
        <w:trPr>
          <w:tblHeader w:val="0"/>
          <w:cantSplit w:val="0"/>
          <w:trHeight w:val="20" w:hRule="atLeast"/>
        </w:trPr>
        <w:tc>
          <w:tcPr>
            <w:tcW w:w="4847" w:type="dxa"/>
            <w:shd w:val="none"/>
            <w:tcMar>
              <w:top w:w="108" w:type="dxa"/>
              <w:left w:w="108" w:type="dxa"/>
              <w:bottom w:w="108" w:type="dxa"/>
              <w:right w:w="108" w:type="dxa"/>
            </w:tcMar>
            <w:tcBorders>
              <w:right w:val="single" w:sz="4" w:space="0" w:color="000000" tmln="10, 20, 20, 0, 0"/>
            </w:tcBorders>
            <w:tmTcPr id="164250573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4846" w:type="dxa"/>
            <w:vAlign w:val="center"/>
            <w:shd w:val="solid" w:color="FFF0D5" tmshd="6553856, 14020863, 16777215"/>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573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Anica Užmah, mag. posl. ved</w:t>
            </w:r>
          </w:p>
        </w:tc>
      </w:tr>
    </w:tbl>
    <w:p>
      <w:pPr>
        <w:spacing w:after="0" w:line="240" w:lineRule="auto"/>
        <w:rPr>
          <w:rFonts w:ascii="Verdana" w:hAnsi="Verdana"/>
          <w:b/>
          <w:sz w:val="20"/>
          <w:szCs w:val="20"/>
          <w:lang w:val="sl-si"/>
        </w:rPr>
      </w:pPr>
      <w:r>
        <w:rPr>
          <w:rFonts w:ascii="Verdana" w:hAnsi="Verdana"/>
          <w:b/>
          <w:sz w:val="20"/>
          <w:szCs w:val="20"/>
          <w:lang w:val="sl-si"/>
        </w:rPr>
      </w:r>
    </w:p>
    <w:sectPr>
      <w:footnotePr>
        <w:pos w:val="pageBottom"/>
        <w:numFmt w:val="decimal"/>
        <w:numStart w:val="1"/>
        <w:numRestart w:val="continuous"/>
      </w:footnotePr>
      <w:endnotePr>
        <w:pos w:val="docEnd"/>
        <w:numFmt w:val="lowerRoman"/>
        <w:numStart w:val="1"/>
        <w:numRestart w:val="continuous"/>
      </w:endnotePr>
      <w:headerReference w:type="default" r:id="rId13"/>
      <w:footerReference w:type="default" r:id="rId14"/>
      <w:type w:val="nextPage"/>
      <w:pgSz w:h="16838" w:w="11906"/>
      <w:pgMar w:left="1134" w:top="1418" w:right="1134" w:bottom="1418" w:header="709" w:footer="709"/>
      <w:paperSrc w:first="0" w:other="0" a="0" b="0"/>
      <w:pgNumType w:fmt="decimal"/>
      <w:tmGutter w:val="3"/>
      <w:mirrorMargins w:val="0"/>
      <w:tmSection w:h="-2">
        <w:tmHeader w:id="0" w:h="0" edge="709" text="0">
          <w:shd w:val="none"/>
        </w:tmHeader>
        <w:tmFooter w:id="0" w:h="0" edge="709"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Times New Roman">
    <w:charset w:val="ee"/>
    <w:family w:val="roman"/>
    <w:pitch w:val="default"/>
  </w:font>
  <w:font w:name="Verdana">
    <w:charset w:val="ee"/>
    <w:family w:val="swiss"/>
    <w:pitch w:val="default"/>
  </w:font>
  <w:font w:name="Calibri">
    <w:charset w:val="ee"/>
    <w:family w:val="swiss"/>
    <w:pitch w:val="default"/>
  </w:font>
  <w:font w:name="Courier New">
    <w:charset w:val="ee"/>
    <w:family w:val="modern"/>
    <w:pitch w:val="default"/>
  </w:font>
  <w:font w:name="Wingdings">
    <w:charset w:val="02"/>
    <w:family w:val="auto"/>
    <w:pitch w:val="default"/>
  </w:font>
  <w:font w:name="Symbol">
    <w:charset w:val="02"/>
    <w:family w:val="roman"/>
    <w:pitch w:val="default"/>
  </w:font>
  <w:font w:name="Cambria">
    <w:charset w:val="ee"/>
    <w:family w:val="roman"/>
    <w:pitch w:val="default"/>
  </w:font>
  <w:font w:name="Arial">
    <w:charset w:val="ee"/>
    <w:family w:val="swiss"/>
    <w:pitch w:val="default"/>
  </w:font>
  <w:font w:name="Liberation Sans">
    <w:charset w:val="01"/>
    <w:family w:val="roman"/>
    <w:pitch w:val="default"/>
  </w:font>
  <w:font w:name="Noto Sans CJK SC">
    <w:charset w:val="00"/>
    <w:family w:val="roman"/>
    <w:pitch w:val="default"/>
  </w:font>
  <w:font w:name="FreeSans">
    <w:charset w:val="00"/>
    <w:family w:val="roman"/>
    <w:pitch w:val="default"/>
  </w:font>
  <w:font w:name="Lohit Devanagari">
    <w:charset w:val="00"/>
    <w:family w:val="roman"/>
    <w:pitch w:val="default"/>
  </w:font>
  <w:font w:name="Tahoma">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1"/>
      <w:tabOrder w:val="0"/>
      <w:jc w:val="left"/>
      <w:tblInd w:w="108" w:type="dxa"/>
      <w:tblW w:w="9638" w:type="dxa"/>
      <w:tblLook w:val="04A0" w:firstRow="1" w:lastRow="0" w:firstColumn="1" w:lastColumn="0" w:noHBand="0" w:noVBand="1"/>
    </w:tblPr>
    <w:tblGrid>
      <w:gridCol w:w="4832"/>
      <w:gridCol w:w="4806"/>
    </w:tblGrid>
    <w:tr>
      <w:trPr>
        <w:tblHeader w:val="0"/>
        <w:cantSplit w:val="0"/>
        <w:trHeight w:val="0" w:hRule="auto"/>
      </w:trPr>
      <w:tc>
        <w:tcPr>
          <w:tcW w:w="4832" w:type="dxa"/>
          <w:shd w:val="none"/>
          <w:tcMar>
            <w:top w:w="0" w:type="dxa"/>
            <w:left w:w="108" w:type="dxa"/>
            <w:bottom w:w="0" w:type="dxa"/>
            <w:right w:w="108" w:type="dxa"/>
          </w:tcMar>
          <w:tcBorders>
            <w:top w:val="single" w:sz="4" w:space="0" w:color="000000" tmln="10, 20, 20, 0, 0"/>
          </w:tcBorders>
          <w:tmTcPr id="1642505731" protected="0"/>
        </w:tcPr>
        <w:p>
          <w:pPr>
            <w:pStyle w:val="para35"/>
            <w:spacing w:after="0" w:line="240" w:lineRule="auto"/>
            <w:widowControl w:val="0"/>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r>
            <w:rPr>
              <w:rFonts w:ascii="Verdana" w:hAnsi="Verdana"/>
              <w:i/>
              <w:sz w:val="16"/>
              <w:szCs w:val="16"/>
              <w:lang w:val="sl-si"/>
            </w:rPr>
            <w:t xml:space="preserve"> ver. 3.1</w:t>
          </w:r>
          <w:r>
            <w:rPr>
              <w:rFonts w:ascii="Verdana" w:hAnsi="Verdana"/>
              <w:i/>
              <w:sz w:val="16"/>
              <w:szCs w:val="16"/>
              <w:vertAlign w:val="superscript"/>
              <w:lang w:val="sl-si"/>
            </w:rPr>
          </w:r>
        </w:p>
      </w:tc>
      <w:tc>
        <w:tcPr>
          <w:tcW w:w="4806" w:type="dxa"/>
          <w:vAlign w:val="center"/>
          <w:shd w:val="none"/>
          <w:tcMar>
            <w:top w:w="0" w:type="dxa"/>
            <w:left w:w="108" w:type="dxa"/>
            <w:bottom w:w="0" w:type="dxa"/>
            <w:right w:w="108" w:type="dxa"/>
          </w:tcMar>
          <w:tcBorders>
            <w:top w:val="single" w:sz="4" w:space="0" w:color="000000" tmln="10, 20, 20, 0, 0"/>
          </w:tcBorders>
          <w:tmTcPr id="1642505731" protected="0"/>
        </w:tcPr>
        <w:p>
          <w:pPr>
            <w:pStyle w:val="para35"/>
            <w:spacing w:after="0" w:line="240" w:lineRule="auto"/>
            <w:jc w:val="right"/>
            <w:widowControl w:val="0"/>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instrText xml:space="preserve"> PAGE </w:instrText>
            <w:fldChar w:fldCharType="separate"/>
            <w:t>3</w:t>
            <w:fldChar w:fldCharType="end"/>
          </w:r>
          <w:r>
            <w:rPr>
              <w:rFonts w:ascii="Verdana" w:hAnsi="Verdana"/>
              <w:sz w:val="16"/>
              <w:szCs w:val="16"/>
              <w:lang w:val="sl-si"/>
            </w:rPr>
            <w:t>/</w:t>
          </w:r>
          <w:r>
            <w:rPr>
              <w:rFonts w:ascii="Verdana" w:hAnsi="Verdana"/>
              <w:sz w:val="16"/>
              <w:szCs w:val="16"/>
              <w:lang w:val="sl-si"/>
            </w:rPr>
            <w:fldChar w:fldCharType="begin"/>
            <w:instrText xml:space="preserve"> NUMPAGES </w:instrText>
            <w:fldChar w:fldCharType="separate"/>
            <w:t>8</w:t>
            <w:fldChar w:fldCharType="end"/>
          </w:r>
        </w:p>
      </w:tc>
    </w:tr>
  </w:tbl>
  <w:p>
    <w:pPr>
      <w:pStyle w:val="para35"/>
      <w:rPr>
        <w:lang w:val="sl-si"/>
      </w:rPr>
    </w:pPr>
    <w:r>
      <w:rPr>
        <w:lang w:val="sl-si"/>
      </w:r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2"/>
      <w:tabOrder w:val="0"/>
      <w:jc w:val="left"/>
      <w:tblInd w:w="108" w:type="dxa"/>
      <w:tblW w:w="9638" w:type="dxa"/>
      <w:tblLook w:val="04A0" w:firstRow="1" w:lastRow="0" w:firstColumn="1" w:lastColumn="0" w:noHBand="0" w:noVBand="1"/>
    </w:tblPr>
    <w:tblGrid>
      <w:gridCol w:w="4729"/>
      <w:gridCol w:w="4909"/>
    </w:tblGrid>
    <w:tr>
      <w:trPr>
        <w:tblHeader w:val="0"/>
        <w:cantSplit w:val="0"/>
        <w:trHeight w:val="0" w:hRule="auto"/>
      </w:trPr>
      <w:tc>
        <w:tcPr>
          <w:tcW w:w="4729" w:type="dxa"/>
          <w:shd w:val="none"/>
          <w:tcMar>
            <w:top w:w="0" w:type="dxa"/>
            <w:left w:w="108" w:type="dxa"/>
            <w:bottom w:w="0" w:type="dxa"/>
            <w:right w:w="108" w:type="dxa"/>
          </w:tcMar>
          <w:tcBorders>
            <w:bottom w:val="single" w:sz="4" w:space="0" w:color="000000" tmln="10, 20, 20, 0, 0"/>
          </w:tcBorders>
          <w:tmTcPr id="1642505731" protected="0"/>
        </w:tcPr>
        <w:p>
          <w:pPr>
            <w:pStyle w:val="para34"/>
            <w:spacing w:after="0" w:line="240" w:lineRule="auto"/>
            <w:widowControl w:val="0"/>
            <w:rPr>
              <w:rFonts w:ascii="Verdana" w:hAnsi="Verdana"/>
              <w:sz w:val="16"/>
              <w:szCs w:val="16"/>
              <w:lang w:val="sl-si"/>
            </w:rPr>
          </w:pPr>
          <w:r>
            <w:rPr>
              <w:rFonts w:ascii="Verdana" w:hAnsi="Verdana"/>
              <w:sz w:val="16"/>
              <w:szCs w:val="16"/>
              <w:lang w:val="sl-si"/>
            </w:rPr>
            <w:t>ePRO</w:t>
          </w:r>
        </w:p>
      </w:tc>
      <w:tc>
        <w:tcPr>
          <w:tcW w:w="4909" w:type="dxa"/>
          <w:shd w:val="none"/>
          <w:tcMar>
            <w:top w:w="0" w:type="dxa"/>
            <w:left w:w="108" w:type="dxa"/>
            <w:bottom w:w="0" w:type="dxa"/>
            <w:right w:w="108" w:type="dxa"/>
          </w:tcMar>
          <w:tcBorders>
            <w:bottom w:val="single" w:sz="4" w:space="0" w:color="000000" tmln="10, 20, 20, 0, 0"/>
          </w:tcBorders>
          <w:tmTcPr id="1642505731" protected="0"/>
        </w:tcPr>
        <w:p>
          <w:pPr>
            <w:pStyle w:val="para34"/>
            <w:spacing w:after="0" w:line="240" w:lineRule="auto"/>
            <w:jc w:val="right"/>
            <w:widowControl w:val="0"/>
            <w:rPr>
              <w:rFonts w:ascii="Verdana" w:hAnsi="Verdana"/>
              <w:sz w:val="16"/>
              <w:szCs w:val="16"/>
              <w:lang w:val="sl-si"/>
            </w:rPr>
          </w:pPr>
          <w:r>
            <w:rPr>
              <w:rFonts w:ascii="Verdana" w:hAnsi="Verdana"/>
              <w:sz w:val="16"/>
              <w:szCs w:val="16"/>
              <w:lang w:val="sl-si"/>
            </w:rPr>
            <w:t>Navodila ponudnikom</w:t>
          </w:r>
        </w:p>
      </w:tc>
    </w:tr>
  </w:tbl>
  <w:p>
    <w:pPr>
      <w:pStyle w:val="para34"/>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5"/>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
    <w:multiLevelType w:val="hybridMultilevel"/>
    <w:name w:val="Numbered list 6"/>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
    <w:multiLevelType w:val="hybridMultilevel"/>
    <w:name w:val="Numbered list 1"/>
    <w:lvl w:ilvl="0">
      <w:start w:val="1"/>
      <w:numFmt w:val="decimal"/>
      <w:suff w:val="tab"/>
      <w:lvlText w:val="%1."/>
      <w:lvlJc w:val="left"/>
      <w:pPr>
        <w:ind w:left="0" w:hanging="0"/>
      </w:pPr>
      <w:rPr>
        <w:b w:val="0"/>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bered list 7"/>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abstractNum>
  <w:abstractNum w:abstractNumId="5">
    <w:multiLevelType w:val="hybridMultilevel"/>
    <w:name w:val="Numbered list 3"/>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Numbered list 2"/>
    <w:lvl w:ilvl="0">
      <w:numFmt w:val="bullet"/>
      <w:suff w:val="tab"/>
      <w:lvlText w:val="-"/>
      <w:lvlJc w:val="left"/>
      <w:pPr>
        <w:ind w:left="360" w:hanging="0"/>
      </w:pPr>
      <w:rPr>
        <w:rFonts w:ascii="Verdana" w:hAnsi="Verdana" w:eastAsia="Calibri" w:cs="Times New Roman"/>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7">
    <w:multiLevelType w:val="hybridMultilevel"/>
    <w:name w:val="Numbered list 4"/>
    <w:lvl w:ilvl="0">
      <w:numFmt w:val="bullet"/>
      <w:suff w:val="tab"/>
      <w:lvlText w:val="-"/>
      <w:lvlJc w:val="left"/>
      <w:pPr>
        <w:ind w:left="0" w:hanging="0"/>
      </w:pPr>
      <w:rPr>
        <w:rFonts w:ascii="Verdana" w:hAnsi="Verdana" w:cs="Verdana"/>
      </w:rPr>
    </w:lvl>
    <w:lvl w:ilvl="1">
      <w:numFmt w:val="bullet"/>
      <w:suff w:val="tab"/>
      <w:lvlText w:val="-"/>
      <w:lvlJc w:val="left"/>
      <w:pPr>
        <w:ind w:left="0" w:hanging="0"/>
      </w:pPr>
      <w:rPr>
        <w:rFonts w:ascii="Verdana" w:hAnsi="Verdana" w:cs="Verdana"/>
      </w:r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1"/>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shapeDefaults>
    <o:shapedefaults v:ext="edit" spidmax="3073"/>
    <o:shapelayout v:ext="edit">
      <o:rules v:ext="edit"/>
    </o:shapelayout>
  </w:shapeDefaults>
  <w:tmPrefOne w:val="17"/>
  <w:tmPrefTwo w:val="1"/>
  <w:tmFmtPref w:val="189275243"/>
  <w:tmCommentsPr>
    <w:tmCommentsPlace w:val="0"/>
    <w:tmCommentsWidth w:val="3119"/>
    <w:tmCommentsColor w:val="-1"/>
  </w:tmCommentsPr>
  <w:tmReviewPr>
    <w:tmReviewEnabled w:val="0"/>
    <w:tmReviewShow w:val="1"/>
    <w:tmReviewPrint w:val="0"/>
    <w:tmRevisionNum w:val="116"/>
    <w:tmReviewMarkIns w:val="4"/>
    <w:tmReviewColorIns w:val="-1"/>
    <w:tmReviewMarkDel w:val="6"/>
    <w:tmReviewColorDel w:val="-1"/>
    <w:tmReviewMarkFmt w:val="1"/>
    <w:tmReviewColorFmt w:val="-1"/>
    <w:tmReviewMarkLn w:val="1"/>
    <w:tmReviewColorLn w:val="0"/>
    <w:tmReviewToolTip w:val="0"/>
  </w:tmReviewPr>
  <w:tmLastPos>
    <w:tmLastPosPage w:val="5"/>
    <w:tmLastPosSelect w:val="0"/>
    <w:tmLastPosFrameIdx w:val="101"/>
    <w:tmLastPosCaret>
      <w:tmLastPosPgfIdx w:val="0"/>
      <w:tmLastPosIdx w:val="104"/>
    </w:tmLastPosCaret>
    <w:tmLastPosAnchor>
      <w:tmLastPosPgfIdx w:val="0"/>
      <w:tmLastPosIdx w:val="0"/>
    </w:tmLastPosAnchor>
    <w:tmLastPosTblRect w:left="0" w:top="0" w:right="0" w:bottom="0"/>
  </w:tmLastPos>
  <w:tmAppRevision w:date="1642505731" w:val="1036" w:fileVer="342" w:fileVer64="64" w:fileVerOS="3"/>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szCs w:val="22"/>
      <w:lang w:val="en-us" w:eastAsia="en-us"/>
    </w:rPr>
  </w:style>
  <w:style w:type="paragraph" w:styleId="para1">
    <w:name w:val="heading 1"/>
    <w:qFormat/>
    <w:basedOn w:val="para0"/>
    <w:pPr>
      <w:spacing w:before="240" w:after="60"/>
      <w:keepNext/>
      <w:outlineLvl w:val="0"/>
    </w:pPr>
    <w:rPr>
      <w:rFonts w:ascii="Cambria" w:hAnsi="Cambria" w:eastAsia="Times New Roman"/>
      <w:b/>
      <w:bCs/>
      <w:sz w:val="32"/>
      <w:szCs w:val="32"/>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pPr>
      <w:spacing w:before="120" w:after="120"/>
      <w:suppressLineNumbers/>
    </w:pPr>
    <w:rPr>
      <w:rFonts w:cs="Lohit Devanagari"/>
      <w:i/>
      <w:iCs/>
      <w:sz w:val="24"/>
      <w:szCs w:val="24"/>
    </w:rPr>
  </w:style>
  <w:style w:type="paragraph" w:styleId="para14" w:customStyle="1">
    <w:name w:val="Index"/>
    <w:qFormat/>
    <w:basedOn w:val="para0"/>
    <w:pPr>
      <w:suppressLineNumbers/>
    </w:pPr>
    <w:rPr>
      <w:rFonts w:cs="FreeSans"/>
    </w:rPr>
  </w:style>
  <w:style w:type="paragraph" w:styleId="para15" w:customStyle="1">
    <w:name w:val="Caption1"/>
    <w:qFormat/>
    <w:basedOn w:val="para0"/>
    <w:rPr>
      <w:b/>
      <w:bCs/>
      <w:color w:val="5b9bd5"/>
      <w:sz w:val="18"/>
      <w:szCs w:val="18"/>
    </w:rPr>
  </w:style>
  <w:style w:type="paragraph" w:styleId="para16">
    <w:name w:val="No Spacing"/>
    <w:qFormat/>
    <w:pPr>
      <w:spacing w:after="0" w:line="240" w:lineRule="auto"/>
    </w:pPr>
    <w:rPr>
      <w:rFonts w:ascii="Calibri" w:hAnsi="Calibri" w:eastAsia="Calibri" w:cs="Times New Roman"/>
      <w:kern w:val="1"/>
      <w:lang w:val="sl-si" w:eastAsia="sl-si" w:bidi="ar-sa"/>
    </w:rPr>
  </w:style>
  <w:style w:type="paragraph" w:styleId="para17">
    <w:name w:val="Title"/>
    <w:qFormat/>
    <w:basedOn w:val="para0"/>
    <w:pPr>
      <w:spacing w:before="300"/>
      <w:contextualSpacing/>
    </w:pPr>
    <w:rPr>
      <w:sz w:val="48"/>
      <w:szCs w:val="48"/>
    </w:rPr>
  </w:style>
  <w:style w:type="paragraph" w:styleId="para18">
    <w:name w:val="Subtitle"/>
    <w:qFormat/>
    <w:basedOn w:val="para0"/>
    <w:pPr>
      <w:spacing w:before="200"/>
    </w:pPr>
    <w:rPr>
      <w:sz w:val="24"/>
      <w:szCs w:val="24"/>
    </w:rPr>
  </w:style>
  <w:style w:type="paragraph" w:styleId="para19">
    <w:name w:val="Quote"/>
    <w:qFormat/>
    <w:basedOn w:val="para0"/>
    <w:pPr>
      <w:ind w:left="720" w:right="720"/>
    </w:pPr>
    <w:rPr>
      <w:i/>
    </w:rPr>
  </w:style>
  <w:style w:type="paragraph" w:styleId="para20">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6553856, 15921906, 16777215"/>
    </w:pPr>
    <w:rPr>
      <w:i/>
    </w:rPr>
  </w:style>
  <w:style w:type="paragraph" w:styleId="para21">
    <w:name w:val="Footnote Text"/>
    <w:qFormat/>
    <w:basedOn w:val="para0"/>
    <w:pPr>
      <w:spacing w:after="40" w:line="240" w:lineRule="auto"/>
    </w:pPr>
    <w:rPr>
      <w:sz w:val="18"/>
    </w:rPr>
  </w:style>
  <w:style w:type="paragraph" w:styleId="para22">
    <w:name w:val="toc 1"/>
    <w:qFormat/>
    <w:basedOn w:val="para0"/>
    <w:pPr>
      <w:spacing w:after="57"/>
    </w:pPr>
  </w:style>
  <w:style w:type="paragraph" w:styleId="para23">
    <w:name w:val="toc 2"/>
    <w:qFormat/>
    <w:basedOn w:val="para0"/>
    <w:pPr>
      <w:ind w:left="283"/>
      <w:spacing w:after="57"/>
    </w:pPr>
  </w:style>
  <w:style w:type="paragraph" w:styleId="para24">
    <w:name w:val="toc 3"/>
    <w:qFormat/>
    <w:basedOn w:val="para0"/>
    <w:pPr>
      <w:ind w:left="567"/>
      <w:spacing w:after="57"/>
    </w:pPr>
  </w:style>
  <w:style w:type="paragraph" w:styleId="para25">
    <w:name w:val="toc 4"/>
    <w:qFormat/>
    <w:basedOn w:val="para0"/>
    <w:pPr>
      <w:ind w:left="850"/>
      <w:spacing w:after="57"/>
    </w:pPr>
  </w:style>
  <w:style w:type="paragraph" w:styleId="para26">
    <w:name w:val="toc 5"/>
    <w:qFormat/>
    <w:basedOn w:val="para0"/>
    <w:pPr>
      <w:ind w:left="1134"/>
      <w:spacing w:after="57"/>
    </w:pPr>
  </w:style>
  <w:style w:type="paragraph" w:styleId="para27">
    <w:name w:val="toc 6"/>
    <w:qFormat/>
    <w:basedOn w:val="para0"/>
    <w:pPr>
      <w:ind w:left="1417"/>
      <w:spacing w:after="57"/>
    </w:pPr>
  </w:style>
  <w:style w:type="paragraph" w:styleId="para28">
    <w:name w:val="toc 7"/>
    <w:qFormat/>
    <w:basedOn w:val="para0"/>
    <w:pPr>
      <w:ind w:left="1701"/>
      <w:spacing w:after="57"/>
    </w:pPr>
  </w:style>
  <w:style w:type="paragraph" w:styleId="para29">
    <w:name w:val="toc 8"/>
    <w:qFormat/>
    <w:basedOn w:val="para0"/>
    <w:pPr>
      <w:ind w:left="1984"/>
      <w:spacing w:after="57"/>
    </w:pPr>
  </w:style>
  <w:style w:type="paragraph" w:styleId="para30">
    <w:name w:val="toc 9"/>
    <w:qFormat/>
    <w:basedOn w:val="para0"/>
    <w:pPr>
      <w:ind w:left="2268"/>
      <w:spacing w:after="57"/>
    </w:pPr>
  </w:style>
  <w:style w:type="paragraph" w:styleId="para31">
    <w:name w:val="TOC Heading"/>
    <w:qFormat/>
    <w:pPr>
      <w:spacing w:after="0" w:line="240" w:lineRule="auto"/>
    </w:pPr>
    <w:rPr>
      <w:rFonts w:ascii="Calibri" w:hAnsi="Calibri" w:eastAsia="Calibri" w:cs="Times New Roman"/>
      <w:kern w:val="1"/>
      <w:lang w:val="sl-si" w:eastAsia="sl-si" w:bidi="ar-sa"/>
    </w:rPr>
  </w:style>
  <w:style w:type="paragraph" w:styleId="para32">
    <w:name w:val="Table of Figures"/>
    <w:qFormat/>
    <w:basedOn w:val="para0"/>
    <w:pPr>
      <w:spacing w:after="0"/>
    </w:pPr>
  </w:style>
  <w:style w:type="paragraph" w:styleId="para33" w:customStyle="1">
    <w:name w:val="Header and Footer"/>
    <w:qFormat/>
    <w:basedOn w:val="para0"/>
  </w:style>
  <w:style w:type="paragraph" w:styleId="para34">
    <w:name w:val="Header"/>
    <w:qFormat/>
    <w:basedOn w:val="para0"/>
    <w:pPr>
      <w:tabs defTabSz="720">
        <w:tab w:val="center" w:pos="4680" w:leader="none"/>
        <w:tab w:val="right" w:pos="9360" w:leader="none"/>
      </w:tabs>
    </w:pPr>
  </w:style>
  <w:style w:type="paragraph" w:styleId="para35">
    <w:name w:val="Footer"/>
    <w:qFormat/>
    <w:basedOn w:val="para0"/>
    <w:pPr>
      <w:tabs defTabSz="720">
        <w:tab w:val="center" w:pos="4680" w:leader="none"/>
        <w:tab w:val="right" w:pos="9360" w:leader="none"/>
      </w:tabs>
    </w:pPr>
  </w:style>
  <w:style w:type="paragraph" w:styleId="para36">
    <w:name w:val="Endnote Text"/>
    <w:qFormat/>
    <w:basedOn w:val="para0"/>
    <w:rPr>
      <w:sz w:val="20"/>
      <w:szCs w:val="20"/>
    </w:rPr>
  </w:style>
  <w:style w:type="paragraph" w:styleId="para37">
    <w:name w:val="Balloon Text"/>
    <w:qFormat/>
    <w:basedOn w:val="para0"/>
    <w:pPr>
      <w:spacing w:after="0" w:line="240" w:lineRule="auto"/>
    </w:pPr>
    <w:rPr>
      <w:rFonts w:ascii="Tahoma" w:hAnsi="Tahoma" w:cs="Tahoma"/>
      <w:sz w:val="16"/>
      <w:szCs w:val="16"/>
    </w:rPr>
  </w:style>
  <w:style w:type="paragraph" w:styleId="para38">
    <w:name w:val="List Paragraph"/>
    <w:qFormat/>
    <w:basedOn w:val="para0"/>
    <w:pPr>
      <w:ind w:left="720"/>
      <w:contextualSpacing/>
    </w:pPr>
  </w:style>
  <w:style w:type="paragraph" w:styleId="para39" w:customStyle="1">
    <w:name w:val="Comment Text1"/>
    <w:qFormat/>
    <w:basedOn w:val="para0"/>
    <w:pPr>
      <w:spacing w:line="240" w:lineRule="auto"/>
    </w:pPr>
    <w:rPr>
      <w:sz w:val="20"/>
      <w:szCs w:val="20"/>
    </w:rPr>
  </w:style>
  <w:style w:type="paragraph" w:styleId="para40" w:customStyle="1">
    <w:name w:val="Comment Subject1"/>
    <w:qFormat/>
    <w:basedOn w:val="para39"/>
    <w:rPr>
      <w:b/>
      <w:bCs/>
    </w:rPr>
  </w:style>
  <w:style w:type="paragraph" w:styleId="para41" w:customStyle="1">
    <w:name w:val="Revision1"/>
    <w:qFormat/>
    <w:pPr>
      <w:spacing w:after="0" w:line="240" w:lineRule="auto"/>
    </w:pPr>
    <w:rPr>
      <w:rFonts w:ascii="Calibri" w:hAnsi="Calibri" w:eastAsia="Calibri" w:cs="Times New Roman"/>
      <w:kern w:val="1"/>
      <w:sz w:val="22"/>
      <w:szCs w:val="22"/>
      <w:lang w:val="en-us" w:eastAsia="en-us" w:bidi="ar-sa"/>
    </w:rPr>
  </w:style>
  <w:style w:type="paragraph" w:styleId="para42" w:customStyle="1">
    <w:name w:val="Comment Text2"/>
    <w:qFormat/>
    <w:basedOn w:val="para0"/>
    <w:pPr>
      <w:spacing w:line="240" w:lineRule="auto"/>
    </w:pPr>
    <w:rPr>
      <w:sz w:val="20"/>
      <w:szCs w:val="20"/>
    </w:rPr>
  </w:style>
  <w:style w:type="paragraph" w:styleId="para43" w:customStyle="1">
    <w:name w:val="Comment Subject2"/>
    <w:qFormat/>
    <w:basedOn w:val="para42"/>
    <w:next w:val="para42"/>
    <w:rPr>
      <w:b/>
      <w:bCs/>
    </w:rPr>
  </w:style>
  <w:style w:type="paragraph" w:styleId="para44" w:customStyle="1">
    <w:name w:val="annotation text"/>
    <w:qFormat/>
    <w:basedOn w:val="para0"/>
    <w:pPr>
      <w:spacing w:after="0" w:line="240" w:lineRule="auto"/>
    </w:pPr>
    <w:rPr>
      <w:sz w:val="20"/>
      <w:szCs w:val="20"/>
    </w:rPr>
  </w:style>
  <w:style w:type="paragraph" w:styleId="para45" w:customStyle="1">
    <w:name w:val="annotation subject"/>
    <w:qFormat/>
    <w:basedOn w:val="para44"/>
    <w:next w:val="para44"/>
    <w:rPr>
      <w:b/>
      <w:bCs/>
    </w:rPr>
  </w:style>
  <w:style w:type="paragraph" w:styleId="para46" w:customStyle="1">
    <w:name w:val="Revision"/>
    <w:qFormat/>
    <w:pPr>
      <w:spacing w:after="0" w:line="240" w:lineRule="auto"/>
      <w:hyphenationLines w:val="1"/>
    </w:pPr>
    <w:rPr>
      <w:rFonts w:ascii="Calibri" w:hAnsi="Calibri" w:eastAsia="Calibri" w:cs="Times New Roman"/>
      <w:kern w:val="1"/>
      <w:sz w:val="22"/>
      <w:szCs w:val="22"/>
      <w:lang w:val="en-us" w:eastAsia="en-us" w:bidi="ar-sa"/>
    </w:rPr>
  </w:style>
  <w:style w:type="character" w:styleId="char0" w:default="1">
    <w:name w:val="Default Paragraph Font"/>
  </w:style>
  <w:style w:type="character" w:styleId="char1" w:customStyle="1">
    <w:name w:val="Heading 2 Char"/>
    <w:basedOn w:val="char0"/>
    <w:rPr>
      <w:rFonts w:ascii="Arial" w:hAnsi="Arial" w:eastAsia="Arial" w:cs="Arial"/>
      <w:sz w:val="34"/>
    </w:rPr>
  </w:style>
  <w:style w:type="character" w:styleId="char2" w:customStyle="1">
    <w:name w:val="Heading 3 Char"/>
    <w:basedOn w:val="char0"/>
    <w:rPr>
      <w:rFonts w:ascii="Arial" w:hAnsi="Arial" w:eastAsia="Arial" w:cs="Arial"/>
      <w:sz w:val="30"/>
      <w:szCs w:val="30"/>
    </w:rPr>
  </w:style>
  <w:style w:type="character" w:styleId="char3" w:customStyle="1">
    <w:name w:val="Heading 4 Char"/>
    <w:basedOn w:val="char0"/>
    <w:rPr>
      <w:rFonts w:ascii="Arial" w:hAnsi="Arial" w:eastAsia="Arial" w:cs="Arial"/>
      <w:b/>
      <w:bCs/>
      <w:sz w:val="26"/>
      <w:szCs w:val="26"/>
    </w:rPr>
  </w:style>
  <w:style w:type="character" w:styleId="char4" w:customStyle="1">
    <w:name w:val="Heading 5 Char"/>
    <w:basedOn w:val="char0"/>
    <w:rPr>
      <w:rFonts w:ascii="Arial" w:hAnsi="Arial" w:eastAsia="Arial" w:cs="Arial"/>
      <w:b/>
      <w:bCs/>
      <w:sz w:val="24"/>
      <w:szCs w:val="24"/>
    </w:rPr>
  </w:style>
  <w:style w:type="character" w:styleId="char5" w:customStyle="1">
    <w:name w:val="Heading 6 Char"/>
    <w:basedOn w:val="char0"/>
    <w:rPr>
      <w:rFonts w:ascii="Arial" w:hAnsi="Arial" w:eastAsia="Arial" w:cs="Arial"/>
      <w:b/>
      <w:bCs/>
      <w:sz w:val="22"/>
      <w:szCs w:val="22"/>
    </w:rPr>
  </w:style>
  <w:style w:type="character" w:styleId="char6" w:customStyle="1">
    <w:name w:val="Heading 7 Char"/>
    <w:basedOn w:val="char0"/>
    <w:rPr>
      <w:rFonts w:ascii="Arial" w:hAnsi="Arial" w:eastAsia="Arial" w:cs="Arial"/>
      <w:b/>
      <w:bCs/>
      <w:i/>
      <w:iCs/>
      <w:sz w:val="22"/>
      <w:szCs w:val="22"/>
    </w:rPr>
  </w:style>
  <w:style w:type="character" w:styleId="char7" w:customStyle="1">
    <w:name w:val="Heading 8 Char"/>
    <w:basedOn w:val="char0"/>
    <w:rPr>
      <w:rFonts w:ascii="Arial" w:hAnsi="Arial" w:eastAsia="Arial" w:cs="Arial"/>
      <w:i/>
      <w:iCs/>
      <w:sz w:val="22"/>
      <w:szCs w:val="22"/>
    </w:rPr>
  </w:style>
  <w:style w:type="character" w:styleId="char8" w:customStyle="1">
    <w:name w:val="Heading 9 Char"/>
    <w:basedOn w:val="char0"/>
    <w:rPr>
      <w:rFonts w:ascii="Arial" w:hAnsi="Arial" w:eastAsia="Arial" w:cs="Arial"/>
      <w:i/>
      <w:iCs/>
      <w:sz w:val="21"/>
      <w:szCs w:val="21"/>
    </w:rPr>
  </w:style>
  <w:style w:type="character" w:styleId="char9" w:customStyle="1">
    <w:name w:val="Title Char"/>
    <w:basedOn w:val="char0"/>
    <w:rPr>
      <w:sz w:val="48"/>
      <w:szCs w:val="48"/>
    </w:rPr>
  </w:style>
  <w:style w:type="character" w:styleId="char10" w:customStyle="1">
    <w:name w:val="Subtitle Char"/>
    <w:basedOn w:val="char0"/>
    <w:rPr>
      <w:sz w:val="24"/>
      <w:szCs w:val="24"/>
    </w:rPr>
  </w:style>
  <w:style w:type="character" w:styleId="char11" w:customStyle="1">
    <w:name w:val="Quote Char"/>
    <w:rPr>
      <w:i/>
    </w:rPr>
  </w:style>
  <w:style w:type="character" w:styleId="char12" w:customStyle="1">
    <w:name w:val="Intense Quote Char"/>
    <w:rPr>
      <w:i/>
    </w:rPr>
  </w:style>
  <w:style w:type="character" w:styleId="char13" w:customStyle="1">
    <w:name w:val="Caption Char"/>
  </w:style>
  <w:style w:type="character" w:styleId="char14" w:customStyle="1">
    <w:name w:val="Footnote Text Char"/>
    <w:rPr>
      <w:sz w:val="18"/>
    </w:rPr>
  </w:style>
  <w:style w:type="character" w:styleId="char15" w:customStyle="1">
    <w:name w:val="Footnote Characters"/>
    <w:rPr>
      <w:vertAlign w:val="superscript"/>
    </w:rPr>
  </w:style>
  <w:style w:type="character" w:styleId="char16" w:customStyle="1">
    <w:name w:val="Footnote Anchor"/>
    <w:rPr>
      <w:vertAlign w:val="superscript"/>
    </w:rPr>
  </w:style>
  <w:style w:type="character" w:styleId="char17" w:customStyle="1">
    <w:name w:val="Heading 1 Char"/>
    <w:rPr>
      <w:rFonts w:ascii="Cambria" w:hAnsi="Cambria" w:eastAsia="Times New Roman" w:cs="Times New Roman"/>
      <w:b/>
      <w:bCs/>
      <w:sz w:val="32"/>
      <w:szCs w:val="32"/>
    </w:rPr>
  </w:style>
  <w:style w:type="character" w:styleId="char18" w:customStyle="1">
    <w:name w:val="Header Char"/>
    <w:rPr>
      <w:sz w:val="22"/>
      <w:szCs w:val="22"/>
    </w:rPr>
  </w:style>
  <w:style w:type="character" w:styleId="char19" w:customStyle="1">
    <w:name w:val="Footer Char"/>
    <w:rPr>
      <w:sz w:val="22"/>
      <w:szCs w:val="22"/>
    </w:rPr>
  </w:style>
  <w:style w:type="character" w:styleId="char20">
    <w:name w:val="Hyperlink"/>
    <w:rPr>
      <w:color w:val="0000ff"/>
      <w:u w:color="auto" w:val="single"/>
    </w:rPr>
  </w:style>
  <w:style w:type="character" w:styleId="char21">
    <w:name w:val="FollowedHyperlink"/>
    <w:rPr>
      <w:color w:val="800080"/>
      <w:u w:color="auto" w:val="single"/>
    </w:rPr>
  </w:style>
  <w:style w:type="character" w:styleId="char22" w:customStyle="1">
    <w:name w:val="Endnote Text Char"/>
    <w:basedOn w:val="char0"/>
  </w:style>
  <w:style w:type="character" w:styleId="char23" w:customStyle="1">
    <w:name w:val="Endnote Characters"/>
    <w:rPr>
      <w:vertAlign w:val="superscript"/>
    </w:rPr>
  </w:style>
  <w:style w:type="character" w:styleId="char24" w:customStyle="1">
    <w:name w:val="Endnote Anchor"/>
    <w:rPr>
      <w:vertAlign w:val="superscript"/>
    </w:rPr>
  </w:style>
  <w:style w:type="character" w:styleId="char25" w:customStyle="1">
    <w:name w:val="Balloon Text Char"/>
    <w:rPr>
      <w:rFonts w:ascii="Tahoma" w:hAnsi="Tahoma" w:cs="Tahoma"/>
      <w:sz w:val="16"/>
      <w:szCs w:val="16"/>
      <w:lang w:val="en-us" w:eastAsia="en-us"/>
    </w:rPr>
  </w:style>
  <w:style w:type="character" w:styleId="char26" w:customStyle="1">
    <w:name w:val="Comment Reference1"/>
    <w:basedOn w:val="char0"/>
    <w:rPr>
      <w:sz w:val="16"/>
      <w:szCs w:val="16"/>
    </w:rPr>
  </w:style>
  <w:style w:type="character" w:styleId="char27" w:customStyle="1">
    <w:name w:val="Comment Text Char"/>
    <w:basedOn w:val="char0"/>
    <w:rPr>
      <w:lang w:val="en-us" w:eastAsia="en-us"/>
    </w:rPr>
  </w:style>
  <w:style w:type="character" w:styleId="char28" w:customStyle="1">
    <w:name w:val="Comment Subject Char"/>
    <w:basedOn w:val="char27"/>
    <w:rPr>
      <w:b/>
      <w:bCs/>
      <w:lang w:val="en-us" w:eastAsia="en-us"/>
    </w:rPr>
  </w:style>
  <w:style w:type="character" w:styleId="char29" w:customStyle="1">
    <w:name w:val="Nerazrešena omemba1"/>
    <w:basedOn w:val="char0"/>
    <w:rPr>
      <w:color w:val="605e5c"/>
      <w:shd w:val="clear" w:fill="e1dfdd"/>
    </w:rPr>
  </w:style>
  <w:style w:type="character" w:styleId="char30" w:customStyle="1">
    <w:name w:val="Line Numbering"/>
  </w:style>
  <w:style w:type="character" w:styleId="char31" w:customStyle="1">
    <w:name w:val="Comment Reference2"/>
    <w:basedOn w:val="char0"/>
    <w:rPr>
      <w:sz w:val="16"/>
      <w:szCs w:val="16"/>
    </w:rPr>
  </w:style>
  <w:style w:type="character" w:styleId="char32" w:customStyle="1">
    <w:name w:val="Comment Text Char1"/>
    <w:basedOn w:val="char0"/>
    <w:rPr>
      <w:kern w:val="1"/>
      <w:lang w:val="en-us" w:eastAsia="en-us"/>
    </w:rPr>
  </w:style>
  <w:style w:type="character" w:styleId="char33" w:customStyle="1">
    <w:name w:val="Comment Subject Char1"/>
    <w:basedOn w:val="char32"/>
    <w:rPr>
      <w:b/>
      <w:bCs/>
      <w:kern w:val="1"/>
      <w:lang w:val="en-us" w:eastAsia="en-u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szCs w:val="22"/>
      <w:lang w:val="en-us" w:eastAsia="en-us"/>
    </w:rPr>
  </w:style>
  <w:style w:type="paragraph" w:styleId="para1">
    <w:name w:val="heading 1"/>
    <w:qFormat/>
    <w:basedOn w:val="para0"/>
    <w:pPr>
      <w:spacing w:before="240" w:after="60"/>
      <w:keepNext/>
      <w:outlineLvl w:val="0"/>
    </w:pPr>
    <w:rPr>
      <w:rFonts w:ascii="Cambria" w:hAnsi="Cambria" w:eastAsia="Times New Roman"/>
      <w:b/>
      <w:bCs/>
      <w:sz w:val="32"/>
      <w:szCs w:val="32"/>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pPr>
      <w:spacing w:before="120" w:after="120"/>
      <w:suppressLineNumbers/>
    </w:pPr>
    <w:rPr>
      <w:rFonts w:cs="Lohit Devanagari"/>
      <w:i/>
      <w:iCs/>
      <w:sz w:val="24"/>
      <w:szCs w:val="24"/>
    </w:rPr>
  </w:style>
  <w:style w:type="paragraph" w:styleId="para14" w:customStyle="1">
    <w:name w:val="Index"/>
    <w:qFormat/>
    <w:basedOn w:val="para0"/>
    <w:pPr>
      <w:suppressLineNumbers/>
    </w:pPr>
    <w:rPr>
      <w:rFonts w:cs="FreeSans"/>
    </w:rPr>
  </w:style>
  <w:style w:type="paragraph" w:styleId="para15" w:customStyle="1">
    <w:name w:val="Caption1"/>
    <w:qFormat/>
    <w:basedOn w:val="para0"/>
    <w:rPr>
      <w:b/>
      <w:bCs/>
      <w:color w:val="5b9bd5"/>
      <w:sz w:val="18"/>
      <w:szCs w:val="18"/>
    </w:rPr>
  </w:style>
  <w:style w:type="paragraph" w:styleId="para16">
    <w:name w:val="No Spacing"/>
    <w:qFormat/>
    <w:pPr>
      <w:spacing w:after="0" w:line="240" w:lineRule="auto"/>
    </w:pPr>
    <w:rPr>
      <w:rFonts w:ascii="Calibri" w:hAnsi="Calibri" w:eastAsia="Calibri" w:cs="Times New Roman"/>
      <w:kern w:val="1"/>
      <w:lang w:val="sl-si" w:eastAsia="sl-si" w:bidi="ar-sa"/>
    </w:rPr>
  </w:style>
  <w:style w:type="paragraph" w:styleId="para17">
    <w:name w:val="Title"/>
    <w:qFormat/>
    <w:basedOn w:val="para0"/>
    <w:pPr>
      <w:spacing w:before="300"/>
      <w:contextualSpacing/>
    </w:pPr>
    <w:rPr>
      <w:sz w:val="48"/>
      <w:szCs w:val="48"/>
    </w:rPr>
  </w:style>
  <w:style w:type="paragraph" w:styleId="para18">
    <w:name w:val="Subtitle"/>
    <w:qFormat/>
    <w:basedOn w:val="para0"/>
    <w:pPr>
      <w:spacing w:before="200"/>
    </w:pPr>
    <w:rPr>
      <w:sz w:val="24"/>
      <w:szCs w:val="24"/>
    </w:rPr>
  </w:style>
  <w:style w:type="paragraph" w:styleId="para19">
    <w:name w:val="Quote"/>
    <w:qFormat/>
    <w:basedOn w:val="para0"/>
    <w:pPr>
      <w:ind w:left="720" w:right="720"/>
    </w:pPr>
    <w:rPr>
      <w:i/>
    </w:rPr>
  </w:style>
  <w:style w:type="paragraph" w:styleId="para20">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6553856, 15921906, 16777215"/>
    </w:pPr>
    <w:rPr>
      <w:i/>
    </w:rPr>
  </w:style>
  <w:style w:type="paragraph" w:styleId="para21">
    <w:name w:val="Footnote Text"/>
    <w:qFormat/>
    <w:basedOn w:val="para0"/>
    <w:pPr>
      <w:spacing w:after="40" w:line="240" w:lineRule="auto"/>
    </w:pPr>
    <w:rPr>
      <w:sz w:val="18"/>
    </w:rPr>
  </w:style>
  <w:style w:type="paragraph" w:styleId="para22">
    <w:name w:val="toc 1"/>
    <w:qFormat/>
    <w:basedOn w:val="para0"/>
    <w:pPr>
      <w:spacing w:after="57"/>
    </w:pPr>
  </w:style>
  <w:style w:type="paragraph" w:styleId="para23">
    <w:name w:val="toc 2"/>
    <w:qFormat/>
    <w:basedOn w:val="para0"/>
    <w:pPr>
      <w:ind w:left="283"/>
      <w:spacing w:after="57"/>
    </w:pPr>
  </w:style>
  <w:style w:type="paragraph" w:styleId="para24">
    <w:name w:val="toc 3"/>
    <w:qFormat/>
    <w:basedOn w:val="para0"/>
    <w:pPr>
      <w:ind w:left="567"/>
      <w:spacing w:after="57"/>
    </w:pPr>
  </w:style>
  <w:style w:type="paragraph" w:styleId="para25">
    <w:name w:val="toc 4"/>
    <w:qFormat/>
    <w:basedOn w:val="para0"/>
    <w:pPr>
      <w:ind w:left="850"/>
      <w:spacing w:after="57"/>
    </w:pPr>
  </w:style>
  <w:style w:type="paragraph" w:styleId="para26">
    <w:name w:val="toc 5"/>
    <w:qFormat/>
    <w:basedOn w:val="para0"/>
    <w:pPr>
      <w:ind w:left="1134"/>
      <w:spacing w:after="57"/>
    </w:pPr>
  </w:style>
  <w:style w:type="paragraph" w:styleId="para27">
    <w:name w:val="toc 6"/>
    <w:qFormat/>
    <w:basedOn w:val="para0"/>
    <w:pPr>
      <w:ind w:left="1417"/>
      <w:spacing w:after="57"/>
    </w:pPr>
  </w:style>
  <w:style w:type="paragraph" w:styleId="para28">
    <w:name w:val="toc 7"/>
    <w:qFormat/>
    <w:basedOn w:val="para0"/>
    <w:pPr>
      <w:ind w:left="1701"/>
      <w:spacing w:after="57"/>
    </w:pPr>
  </w:style>
  <w:style w:type="paragraph" w:styleId="para29">
    <w:name w:val="toc 8"/>
    <w:qFormat/>
    <w:basedOn w:val="para0"/>
    <w:pPr>
      <w:ind w:left="1984"/>
      <w:spacing w:after="57"/>
    </w:pPr>
  </w:style>
  <w:style w:type="paragraph" w:styleId="para30">
    <w:name w:val="toc 9"/>
    <w:qFormat/>
    <w:basedOn w:val="para0"/>
    <w:pPr>
      <w:ind w:left="2268"/>
      <w:spacing w:after="57"/>
    </w:pPr>
  </w:style>
  <w:style w:type="paragraph" w:styleId="para31">
    <w:name w:val="TOC Heading"/>
    <w:qFormat/>
    <w:pPr>
      <w:spacing w:after="0" w:line="240" w:lineRule="auto"/>
    </w:pPr>
    <w:rPr>
      <w:rFonts w:ascii="Calibri" w:hAnsi="Calibri" w:eastAsia="Calibri" w:cs="Times New Roman"/>
      <w:kern w:val="1"/>
      <w:lang w:val="sl-si" w:eastAsia="sl-si" w:bidi="ar-sa"/>
    </w:rPr>
  </w:style>
  <w:style w:type="paragraph" w:styleId="para32">
    <w:name w:val="Table of Figures"/>
    <w:qFormat/>
    <w:basedOn w:val="para0"/>
    <w:pPr>
      <w:spacing w:after="0"/>
    </w:pPr>
  </w:style>
  <w:style w:type="paragraph" w:styleId="para33" w:customStyle="1">
    <w:name w:val="Header and Footer"/>
    <w:qFormat/>
    <w:basedOn w:val="para0"/>
  </w:style>
  <w:style w:type="paragraph" w:styleId="para34">
    <w:name w:val="Header"/>
    <w:qFormat/>
    <w:basedOn w:val="para0"/>
    <w:pPr>
      <w:tabs defTabSz="720">
        <w:tab w:val="center" w:pos="4680" w:leader="none"/>
        <w:tab w:val="right" w:pos="9360" w:leader="none"/>
      </w:tabs>
    </w:pPr>
  </w:style>
  <w:style w:type="paragraph" w:styleId="para35">
    <w:name w:val="Footer"/>
    <w:qFormat/>
    <w:basedOn w:val="para0"/>
    <w:pPr>
      <w:tabs defTabSz="720">
        <w:tab w:val="center" w:pos="4680" w:leader="none"/>
        <w:tab w:val="right" w:pos="9360" w:leader="none"/>
      </w:tabs>
    </w:pPr>
  </w:style>
  <w:style w:type="paragraph" w:styleId="para36">
    <w:name w:val="Endnote Text"/>
    <w:qFormat/>
    <w:basedOn w:val="para0"/>
    <w:rPr>
      <w:sz w:val="20"/>
      <w:szCs w:val="20"/>
    </w:rPr>
  </w:style>
  <w:style w:type="paragraph" w:styleId="para37">
    <w:name w:val="Balloon Text"/>
    <w:qFormat/>
    <w:basedOn w:val="para0"/>
    <w:pPr>
      <w:spacing w:after="0" w:line="240" w:lineRule="auto"/>
    </w:pPr>
    <w:rPr>
      <w:rFonts w:ascii="Tahoma" w:hAnsi="Tahoma" w:cs="Tahoma"/>
      <w:sz w:val="16"/>
      <w:szCs w:val="16"/>
    </w:rPr>
  </w:style>
  <w:style w:type="paragraph" w:styleId="para38">
    <w:name w:val="List Paragraph"/>
    <w:qFormat/>
    <w:basedOn w:val="para0"/>
    <w:pPr>
      <w:ind w:left="720"/>
      <w:contextualSpacing/>
    </w:pPr>
  </w:style>
  <w:style w:type="paragraph" w:styleId="para39" w:customStyle="1">
    <w:name w:val="Comment Text1"/>
    <w:qFormat/>
    <w:basedOn w:val="para0"/>
    <w:pPr>
      <w:spacing w:line="240" w:lineRule="auto"/>
    </w:pPr>
    <w:rPr>
      <w:sz w:val="20"/>
      <w:szCs w:val="20"/>
    </w:rPr>
  </w:style>
  <w:style w:type="paragraph" w:styleId="para40" w:customStyle="1">
    <w:name w:val="Comment Subject1"/>
    <w:qFormat/>
    <w:basedOn w:val="para39"/>
    <w:rPr>
      <w:b/>
      <w:bCs/>
    </w:rPr>
  </w:style>
  <w:style w:type="paragraph" w:styleId="para41" w:customStyle="1">
    <w:name w:val="Revision1"/>
    <w:qFormat/>
    <w:pPr>
      <w:spacing w:after="0" w:line="240" w:lineRule="auto"/>
    </w:pPr>
    <w:rPr>
      <w:rFonts w:ascii="Calibri" w:hAnsi="Calibri" w:eastAsia="Calibri" w:cs="Times New Roman"/>
      <w:kern w:val="1"/>
      <w:sz w:val="22"/>
      <w:szCs w:val="22"/>
      <w:lang w:val="en-us" w:eastAsia="en-us" w:bidi="ar-sa"/>
    </w:rPr>
  </w:style>
  <w:style w:type="paragraph" w:styleId="para42" w:customStyle="1">
    <w:name w:val="Comment Text2"/>
    <w:qFormat/>
    <w:basedOn w:val="para0"/>
    <w:pPr>
      <w:spacing w:line="240" w:lineRule="auto"/>
    </w:pPr>
    <w:rPr>
      <w:sz w:val="20"/>
      <w:szCs w:val="20"/>
    </w:rPr>
  </w:style>
  <w:style w:type="paragraph" w:styleId="para43" w:customStyle="1">
    <w:name w:val="Comment Subject2"/>
    <w:qFormat/>
    <w:basedOn w:val="para42"/>
    <w:next w:val="para42"/>
    <w:rPr>
      <w:b/>
      <w:bCs/>
    </w:rPr>
  </w:style>
  <w:style w:type="paragraph" w:styleId="para44" w:customStyle="1">
    <w:name w:val="annotation text"/>
    <w:qFormat/>
    <w:basedOn w:val="para0"/>
    <w:pPr>
      <w:spacing w:after="0" w:line="240" w:lineRule="auto"/>
    </w:pPr>
    <w:rPr>
      <w:sz w:val="20"/>
      <w:szCs w:val="20"/>
    </w:rPr>
  </w:style>
  <w:style w:type="paragraph" w:styleId="para45" w:customStyle="1">
    <w:name w:val="annotation subject"/>
    <w:qFormat/>
    <w:basedOn w:val="para44"/>
    <w:next w:val="para44"/>
    <w:rPr>
      <w:b/>
      <w:bCs/>
    </w:rPr>
  </w:style>
  <w:style w:type="paragraph" w:styleId="para46" w:customStyle="1">
    <w:name w:val="Revision"/>
    <w:qFormat/>
    <w:pPr>
      <w:spacing w:after="0" w:line="240" w:lineRule="auto"/>
      <w:hyphenationLines w:val="1"/>
    </w:pPr>
    <w:rPr>
      <w:rFonts w:ascii="Calibri" w:hAnsi="Calibri" w:eastAsia="Calibri" w:cs="Times New Roman"/>
      <w:kern w:val="1"/>
      <w:sz w:val="22"/>
      <w:szCs w:val="22"/>
      <w:lang w:val="en-us" w:eastAsia="en-us" w:bidi="ar-sa"/>
    </w:rPr>
  </w:style>
  <w:style w:type="character" w:styleId="char0" w:default="1">
    <w:name w:val="Default Paragraph Font"/>
  </w:style>
  <w:style w:type="character" w:styleId="char1" w:customStyle="1">
    <w:name w:val="Heading 2 Char"/>
    <w:basedOn w:val="char0"/>
    <w:rPr>
      <w:rFonts w:ascii="Arial" w:hAnsi="Arial" w:eastAsia="Arial" w:cs="Arial"/>
      <w:sz w:val="34"/>
    </w:rPr>
  </w:style>
  <w:style w:type="character" w:styleId="char2" w:customStyle="1">
    <w:name w:val="Heading 3 Char"/>
    <w:basedOn w:val="char0"/>
    <w:rPr>
      <w:rFonts w:ascii="Arial" w:hAnsi="Arial" w:eastAsia="Arial" w:cs="Arial"/>
      <w:sz w:val="30"/>
      <w:szCs w:val="30"/>
    </w:rPr>
  </w:style>
  <w:style w:type="character" w:styleId="char3" w:customStyle="1">
    <w:name w:val="Heading 4 Char"/>
    <w:basedOn w:val="char0"/>
    <w:rPr>
      <w:rFonts w:ascii="Arial" w:hAnsi="Arial" w:eastAsia="Arial" w:cs="Arial"/>
      <w:b/>
      <w:bCs/>
      <w:sz w:val="26"/>
      <w:szCs w:val="26"/>
    </w:rPr>
  </w:style>
  <w:style w:type="character" w:styleId="char4" w:customStyle="1">
    <w:name w:val="Heading 5 Char"/>
    <w:basedOn w:val="char0"/>
    <w:rPr>
      <w:rFonts w:ascii="Arial" w:hAnsi="Arial" w:eastAsia="Arial" w:cs="Arial"/>
      <w:b/>
      <w:bCs/>
      <w:sz w:val="24"/>
      <w:szCs w:val="24"/>
    </w:rPr>
  </w:style>
  <w:style w:type="character" w:styleId="char5" w:customStyle="1">
    <w:name w:val="Heading 6 Char"/>
    <w:basedOn w:val="char0"/>
    <w:rPr>
      <w:rFonts w:ascii="Arial" w:hAnsi="Arial" w:eastAsia="Arial" w:cs="Arial"/>
      <w:b/>
      <w:bCs/>
      <w:sz w:val="22"/>
      <w:szCs w:val="22"/>
    </w:rPr>
  </w:style>
  <w:style w:type="character" w:styleId="char6" w:customStyle="1">
    <w:name w:val="Heading 7 Char"/>
    <w:basedOn w:val="char0"/>
    <w:rPr>
      <w:rFonts w:ascii="Arial" w:hAnsi="Arial" w:eastAsia="Arial" w:cs="Arial"/>
      <w:b/>
      <w:bCs/>
      <w:i/>
      <w:iCs/>
      <w:sz w:val="22"/>
      <w:szCs w:val="22"/>
    </w:rPr>
  </w:style>
  <w:style w:type="character" w:styleId="char7" w:customStyle="1">
    <w:name w:val="Heading 8 Char"/>
    <w:basedOn w:val="char0"/>
    <w:rPr>
      <w:rFonts w:ascii="Arial" w:hAnsi="Arial" w:eastAsia="Arial" w:cs="Arial"/>
      <w:i/>
      <w:iCs/>
      <w:sz w:val="22"/>
      <w:szCs w:val="22"/>
    </w:rPr>
  </w:style>
  <w:style w:type="character" w:styleId="char8" w:customStyle="1">
    <w:name w:val="Heading 9 Char"/>
    <w:basedOn w:val="char0"/>
    <w:rPr>
      <w:rFonts w:ascii="Arial" w:hAnsi="Arial" w:eastAsia="Arial" w:cs="Arial"/>
      <w:i/>
      <w:iCs/>
      <w:sz w:val="21"/>
      <w:szCs w:val="21"/>
    </w:rPr>
  </w:style>
  <w:style w:type="character" w:styleId="char9" w:customStyle="1">
    <w:name w:val="Title Char"/>
    <w:basedOn w:val="char0"/>
    <w:rPr>
      <w:sz w:val="48"/>
      <w:szCs w:val="48"/>
    </w:rPr>
  </w:style>
  <w:style w:type="character" w:styleId="char10" w:customStyle="1">
    <w:name w:val="Subtitle Char"/>
    <w:basedOn w:val="char0"/>
    <w:rPr>
      <w:sz w:val="24"/>
      <w:szCs w:val="24"/>
    </w:rPr>
  </w:style>
  <w:style w:type="character" w:styleId="char11" w:customStyle="1">
    <w:name w:val="Quote Char"/>
    <w:rPr>
      <w:i/>
    </w:rPr>
  </w:style>
  <w:style w:type="character" w:styleId="char12" w:customStyle="1">
    <w:name w:val="Intense Quote Char"/>
    <w:rPr>
      <w:i/>
    </w:rPr>
  </w:style>
  <w:style w:type="character" w:styleId="char13" w:customStyle="1">
    <w:name w:val="Caption Char"/>
  </w:style>
  <w:style w:type="character" w:styleId="char14" w:customStyle="1">
    <w:name w:val="Footnote Text Char"/>
    <w:rPr>
      <w:sz w:val="18"/>
    </w:rPr>
  </w:style>
  <w:style w:type="character" w:styleId="char15" w:customStyle="1">
    <w:name w:val="Footnote Characters"/>
    <w:rPr>
      <w:vertAlign w:val="superscript"/>
    </w:rPr>
  </w:style>
  <w:style w:type="character" w:styleId="char16" w:customStyle="1">
    <w:name w:val="Footnote Anchor"/>
    <w:rPr>
      <w:vertAlign w:val="superscript"/>
    </w:rPr>
  </w:style>
  <w:style w:type="character" w:styleId="char17" w:customStyle="1">
    <w:name w:val="Heading 1 Char"/>
    <w:rPr>
      <w:rFonts w:ascii="Cambria" w:hAnsi="Cambria" w:eastAsia="Times New Roman" w:cs="Times New Roman"/>
      <w:b/>
      <w:bCs/>
      <w:sz w:val="32"/>
      <w:szCs w:val="32"/>
    </w:rPr>
  </w:style>
  <w:style w:type="character" w:styleId="char18" w:customStyle="1">
    <w:name w:val="Header Char"/>
    <w:rPr>
      <w:sz w:val="22"/>
      <w:szCs w:val="22"/>
    </w:rPr>
  </w:style>
  <w:style w:type="character" w:styleId="char19" w:customStyle="1">
    <w:name w:val="Footer Char"/>
    <w:rPr>
      <w:sz w:val="22"/>
      <w:szCs w:val="22"/>
    </w:rPr>
  </w:style>
  <w:style w:type="character" w:styleId="char20">
    <w:name w:val="Hyperlink"/>
    <w:rPr>
      <w:color w:val="0000ff"/>
      <w:u w:color="auto" w:val="single"/>
    </w:rPr>
  </w:style>
  <w:style w:type="character" w:styleId="char21">
    <w:name w:val="FollowedHyperlink"/>
    <w:rPr>
      <w:color w:val="800080"/>
      <w:u w:color="auto" w:val="single"/>
    </w:rPr>
  </w:style>
  <w:style w:type="character" w:styleId="char22" w:customStyle="1">
    <w:name w:val="Endnote Text Char"/>
    <w:basedOn w:val="char0"/>
  </w:style>
  <w:style w:type="character" w:styleId="char23" w:customStyle="1">
    <w:name w:val="Endnote Characters"/>
    <w:rPr>
      <w:vertAlign w:val="superscript"/>
    </w:rPr>
  </w:style>
  <w:style w:type="character" w:styleId="char24" w:customStyle="1">
    <w:name w:val="Endnote Anchor"/>
    <w:rPr>
      <w:vertAlign w:val="superscript"/>
    </w:rPr>
  </w:style>
  <w:style w:type="character" w:styleId="char25" w:customStyle="1">
    <w:name w:val="Balloon Text Char"/>
    <w:rPr>
      <w:rFonts w:ascii="Tahoma" w:hAnsi="Tahoma" w:cs="Tahoma"/>
      <w:sz w:val="16"/>
      <w:szCs w:val="16"/>
      <w:lang w:val="en-us" w:eastAsia="en-us"/>
    </w:rPr>
  </w:style>
  <w:style w:type="character" w:styleId="char26" w:customStyle="1">
    <w:name w:val="Comment Reference1"/>
    <w:basedOn w:val="char0"/>
    <w:rPr>
      <w:sz w:val="16"/>
      <w:szCs w:val="16"/>
    </w:rPr>
  </w:style>
  <w:style w:type="character" w:styleId="char27" w:customStyle="1">
    <w:name w:val="Comment Text Char"/>
    <w:basedOn w:val="char0"/>
    <w:rPr>
      <w:lang w:val="en-us" w:eastAsia="en-us"/>
    </w:rPr>
  </w:style>
  <w:style w:type="character" w:styleId="char28" w:customStyle="1">
    <w:name w:val="Comment Subject Char"/>
    <w:basedOn w:val="char27"/>
    <w:rPr>
      <w:b/>
      <w:bCs/>
      <w:lang w:val="en-us" w:eastAsia="en-us"/>
    </w:rPr>
  </w:style>
  <w:style w:type="character" w:styleId="char29" w:customStyle="1">
    <w:name w:val="Nerazrešena omemba1"/>
    <w:basedOn w:val="char0"/>
    <w:rPr>
      <w:color w:val="605e5c"/>
      <w:shd w:val="clear" w:fill="e1dfdd"/>
    </w:rPr>
  </w:style>
  <w:style w:type="character" w:styleId="char30" w:customStyle="1">
    <w:name w:val="Line Numbering"/>
  </w:style>
  <w:style w:type="character" w:styleId="char31" w:customStyle="1">
    <w:name w:val="Comment Reference2"/>
    <w:basedOn w:val="char0"/>
    <w:rPr>
      <w:sz w:val="16"/>
      <w:szCs w:val="16"/>
    </w:rPr>
  </w:style>
  <w:style w:type="character" w:styleId="char32" w:customStyle="1">
    <w:name w:val="Comment Text Char1"/>
    <w:basedOn w:val="char0"/>
    <w:rPr>
      <w:kern w:val="1"/>
      <w:lang w:val="en-us" w:eastAsia="en-us"/>
    </w:rPr>
  </w:style>
  <w:style w:type="character" w:styleId="char33" w:customStyle="1">
    <w:name w:val="Comment Subject Char1"/>
    <w:basedOn w:val="char32"/>
    <w:rPr>
      <w:b/>
      <w:bCs/>
      <w:kern w:val="1"/>
      <w:lang w:val="en-us" w:eastAsia="en-u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www.enarocanje.si/&quot;" TargetMode="External"/><Relationship Id="rId9" Type="http://schemas.openxmlformats.org/officeDocument/2006/relationships/hyperlink" Target="http://www.enarocanje.si/" TargetMode="External"/><Relationship Id="rId10" Type="http://schemas.openxmlformats.org/officeDocument/2006/relationships/hyperlink" Target="http://www.eponudbe.si/" TargetMode="External"/><Relationship Id="rId11" Type="http://schemas.openxmlformats.org/officeDocument/2006/relationships/hyperlink" Target="http://www.eponudbe.si/&quot;" TargetMode="External"/><Relationship Id="rId12" Type="http://schemas.openxmlformats.org/officeDocument/2006/relationships/hyperlink" Target="http://enarocanje.si/_ESPD/" TargetMode="External"/><Relationship Id="rId13"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Times New Roman"/>
        <a:cs typeface="Times New Roman"/>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rev.1036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LNX</cp:lastModifiedBy>
  <cp:revision>116</cp:revision>
  <dcterms:created xsi:type="dcterms:W3CDTF">2021-09-27T09:52:00Z</dcterms:created>
  <dcterms:modified xsi:type="dcterms:W3CDTF">2022-01-18T11:35:31Z</dcterms:modified>
</cp:coreProperties>
</file>