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tbl>
      <w:tblPr>
        <w:tblStyle w:val="TableNormal"/>
        <w:name w:val="Table7"/>
        <w:tabOrder w:val="0"/>
        <w:jc w:val="center"/>
        <w:tblInd w:w="0" w:type="dxa"/>
        <w:tblW w:w="9638" w:type="dxa"/>
        <w:tblLook w:val="04A0" w:firstRow="1" w:lastRow="0" w:firstColumn="1" w:lastColumn="0" w:noHBand="0" w:noVBand="1"/>
      </w:tblPr>
      <w:tblGrid>
        <w:gridCol w:w="2391"/>
        <w:gridCol w:w="7247"/>
      </w:tblGrid>
      <w:tr>
        <w:trPr>
          <w:tblHeader w:val="0"/>
          <w:cantSplit w:val="0"/>
          <w:trHeight w:val="20" w:hRule="atLeast"/>
        </w:trPr>
        <w:tc>
          <w:tcPr>
            <w:tcW w:w="9638" w:type="dxa"/>
            <w:gridSpan w:val="2"/>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b/>
                <w:sz w:val="20"/>
                <w:szCs w:val="20"/>
                <w:lang w:val="sl-si"/>
              </w:rPr>
              <w:t>NAROČNIK</w:t>
            </w:r>
            <w:r>
              <w:rPr>
                <w:rFonts w:ascii="Verdana" w:hAnsi="Verdana"/>
                <w:sz w:val="20"/>
                <w:szCs w:val="20"/>
                <w:lang w:val="sl-si"/>
              </w:rPr>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Naziv in sedež</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Splošna bolnišnica dr. Jožeta Potrča Ptuj</w:t>
            </w:r>
          </w:p>
          <w:p>
            <w:pPr>
              <w:spacing w:after="0" w:line="240" w:lineRule="auto"/>
              <w:widowControl w:val="0"/>
              <w:rPr>
                <w:rFonts w:ascii="Verdana" w:hAnsi="Verdana"/>
                <w:b/>
                <w:sz w:val="20"/>
                <w:szCs w:val="20"/>
                <w:lang w:val="sl-si"/>
              </w:rPr>
            </w:pPr>
            <w:r>
              <w:rPr>
                <w:rFonts w:ascii="Verdana" w:hAnsi="Verdana"/>
                <w:b/>
                <w:sz w:val="20"/>
                <w:szCs w:val="20"/>
                <w:lang w:val="sl-si"/>
              </w:rPr>
              <w:t>Potrčeva cesta 23</w:t>
            </w:r>
          </w:p>
          <w:p>
            <w:pPr>
              <w:spacing w:after="0" w:line="240" w:lineRule="auto"/>
              <w:widowControl w:val="0"/>
              <w:rPr>
                <w:rFonts w:ascii="Verdana" w:hAnsi="Verdana"/>
                <w:b/>
                <w:sz w:val="20"/>
                <w:szCs w:val="20"/>
                <w:lang w:val="sl-si"/>
              </w:rPr>
            </w:pPr>
            <w:r>
              <w:rPr>
                <w:rFonts w:ascii="Verdana" w:hAnsi="Verdana"/>
                <w:b/>
                <w:sz w:val="20"/>
                <w:szCs w:val="20"/>
                <w:lang w:val="sl-si"/>
              </w:rPr>
              <w:t>2250 Ptuj</w:t>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ID št. za DDV</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SI35767294</w:t>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Matična številka</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5054796000</w:t>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Transakcijski račun</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SI56 0110 0603 0278 670</w:t>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Telefon</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E-pošta</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Skrbnik pogodbe</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9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Podpisnik</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Anica Užmah, mag. posl. ved</w:t>
            </w:r>
          </w:p>
        </w:tc>
      </w:tr>
    </w:tbl>
    <w:p>
      <w:pPr>
        <w:spacing w:before="120" w:after="120" w:line="240" w:lineRule="auto"/>
        <w:jc w:val="center"/>
        <w:widowControl w:val="0"/>
        <w:rPr>
          <w:rFonts w:ascii="Verdana" w:hAnsi="Verdana"/>
          <w:sz w:val="20"/>
          <w:szCs w:val="28"/>
          <w:lang w:val="sl-si"/>
        </w:rPr>
      </w:pPr>
      <w:r>
        <w:rPr>
          <w:rFonts w:ascii="Verdana" w:hAnsi="Verdana"/>
          <w:sz w:val="20"/>
          <w:szCs w:val="28"/>
          <w:lang w:val="sl-si"/>
        </w:rPr>
        <w:t>in</w:t>
      </w:r>
    </w:p>
    <w:tbl>
      <w:tblPr>
        <w:tblStyle w:val="TableNormal"/>
        <w:name w:val="Table8"/>
        <w:tabOrder w:val="0"/>
        <w:jc w:val="center"/>
        <w:tblInd w:w="0" w:type="dxa"/>
        <w:tblW w:w="9639" w:type="dxa"/>
        <w:tblLook w:val="04A0" w:firstRow="1" w:lastRow="0" w:firstColumn="1" w:lastColumn="0" w:noHBand="0" w:noVBand="1"/>
      </w:tblPr>
      <w:tblGrid>
        <w:gridCol w:w="2389"/>
        <w:gridCol w:w="2407"/>
        <w:gridCol w:w="2398"/>
        <w:gridCol w:w="2445"/>
      </w:tblGrid>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PONUDNIK/IZVAJALEC</w:t>
            </w:r>
          </w:p>
        </w:tc>
        <w:tc>
          <w:tcPr>
            <w:tcW w:w="2407"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Poslovodeči partner</w:t>
            </w:r>
          </w:p>
        </w:tc>
        <w:tc>
          <w:tcPr>
            <w:tcW w:w="2398"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Partner 2</w:t>
            </w:r>
          </w:p>
        </w:tc>
        <w:tc>
          <w:tcPr>
            <w:tcW w:w="2445"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Partner X</w:t>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Naziv in sedež</w:t>
            </w:r>
            <w:r>
              <w:rPr>
                <w:rFonts w:ascii="Verdana" w:hAnsi="Verdana"/>
                <w:sz w:val="20"/>
                <w:szCs w:val="20"/>
                <w:lang w:val="sl-si"/>
              </w:rPr>
            </w:r>
          </w:p>
        </w:tc>
        <w:tc>
          <w:tcPr>
            <w:tcW w:w="2407"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239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244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ID št. za DDV</w:t>
            </w:r>
            <w:r>
              <w:rPr>
                <w:rFonts w:ascii="Verdana" w:hAnsi="Verdana"/>
                <w:sz w:val="20"/>
                <w:szCs w:val="20"/>
                <w:lang w:val="sl-si"/>
              </w:rPr>
            </w:r>
          </w:p>
        </w:tc>
        <w:tc>
          <w:tcPr>
            <w:tcW w:w="2407"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9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4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Matična številka</w:t>
            </w:r>
            <w:r>
              <w:rPr>
                <w:rFonts w:ascii="Verdana" w:hAnsi="Verdana"/>
                <w:sz w:val="20"/>
                <w:szCs w:val="20"/>
                <w:lang w:val="sl-si"/>
              </w:rPr>
            </w:r>
          </w:p>
        </w:tc>
        <w:tc>
          <w:tcPr>
            <w:tcW w:w="2407"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9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4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Transakcijski račun</w:t>
            </w:r>
            <w:r>
              <w:rPr>
                <w:rFonts w:ascii="Verdana" w:hAnsi="Verdana"/>
                <w:sz w:val="20"/>
                <w:szCs w:val="20"/>
                <w:lang w:val="sl-si"/>
              </w:rPr>
            </w:r>
          </w:p>
        </w:tc>
        <w:tc>
          <w:tcPr>
            <w:tcW w:w="2407"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9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4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Telefon</w:t>
            </w:r>
            <w:r>
              <w:rPr>
                <w:rFonts w:ascii="Verdana" w:hAnsi="Verdana"/>
                <w:sz w:val="20"/>
                <w:szCs w:val="20"/>
                <w:lang w:val="sl-si"/>
              </w:rPr>
            </w:r>
          </w:p>
        </w:tc>
        <w:tc>
          <w:tcPr>
            <w:tcW w:w="2407"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9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4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E-pošta</w:t>
            </w:r>
            <w:r>
              <w:rPr>
                <w:rFonts w:ascii="Verdana" w:hAnsi="Verdana"/>
                <w:sz w:val="20"/>
                <w:szCs w:val="20"/>
                <w:lang w:val="sl-si"/>
              </w:rPr>
            </w:r>
          </w:p>
        </w:tc>
        <w:tc>
          <w:tcPr>
            <w:tcW w:w="2407"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398"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2445"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Skrbnik pogodbe</w:t>
            </w:r>
            <w:r>
              <w:rPr>
                <w:rFonts w:ascii="Verdana" w:hAnsi="Verdana"/>
                <w:sz w:val="20"/>
                <w:szCs w:val="20"/>
                <w:lang w:val="sl-si"/>
              </w:rPr>
            </w:r>
          </w:p>
        </w:tc>
        <w:tc>
          <w:tcPr>
            <w:tcW w:w="7249" w:type="dxa"/>
            <w:gridSpan w:val="3"/>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2389"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b/>
                <w:sz w:val="20"/>
                <w:szCs w:val="20"/>
                <w:lang w:val="sl-si"/>
              </w:rPr>
              <w:t>Podpisnik</w:t>
            </w:r>
            <w:r>
              <w:rPr>
                <w:rFonts w:ascii="Verdana" w:hAnsi="Verdana"/>
                <w:sz w:val="20"/>
                <w:szCs w:val="20"/>
                <w:lang w:val="sl-si"/>
              </w:rPr>
            </w:r>
          </w:p>
        </w:tc>
        <w:tc>
          <w:tcPr>
            <w:tcW w:w="7249" w:type="dxa"/>
            <w:gridSpan w:val="3"/>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bl>
    <w:p>
      <w:pPr>
        <w:spacing w:before="120" w:after="120" w:line="240" w:lineRule="auto"/>
        <w:jc w:val="both"/>
        <w:widowControl w:val="0"/>
        <w:rPr>
          <w:rFonts w:ascii="Verdana" w:hAnsi="Verdana"/>
          <w:sz w:val="20"/>
          <w:szCs w:val="28"/>
          <w:lang w:val="sl-si"/>
        </w:rPr>
      </w:pPr>
      <w:r>
        <w:rPr>
          <w:rFonts w:ascii="Verdana" w:hAnsi="Verdana"/>
          <w:sz w:val="20"/>
          <w:szCs w:val="28"/>
          <w:lang w:val="sl-si"/>
        </w:rPr>
        <w:t>sklepata</w:t>
      </w:r>
    </w:p>
    <w:tbl>
      <w:tblPr>
        <w:tblStyle w:val="TableNormal"/>
        <w:name w:val="Table9"/>
        <w:tabOrder w:val="0"/>
        <w:jc w:val="center"/>
        <w:tblInd w:w="0" w:type="dxa"/>
        <w:tblW w:w="9638" w:type="dxa"/>
        <w:tblLook w:val="04A0" w:firstRow="1" w:lastRow="0" w:firstColumn="1" w:lastColumn="0" w:noHBand="0" w:noVBand="1"/>
      </w:tblPr>
      <w:tblGrid>
        <w:gridCol w:w="9638"/>
      </w:tblGrid>
      <w:tr>
        <w:trPr>
          <w:tblHeader w:val="0"/>
          <w:cantSplit w:val="0"/>
          <w:trHeight w:val="20" w:hRule="atLeast"/>
        </w:trPr>
        <w:tc>
          <w:tcPr>
            <w:tcW w:w="9638"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8"/>
                <w:szCs w:val="28"/>
                <w:lang w:val="sl-si"/>
              </w:rPr>
            </w:pPr>
            <w:r>
              <w:rPr>
                <w:rFonts w:ascii="Verdana" w:hAnsi="Verdana"/>
                <w:b/>
                <w:sz w:val="28"/>
                <w:szCs w:val="28"/>
                <w:lang w:val="sl-si"/>
              </w:rPr>
              <w:t>POGODBO O UVEDBI IN VZDRŽEVANJU INFORMACIJSKEGA SISTEMA ZA PODPORO ZDRAVSTVU  številka &lt;številka pogodbe&gt;</w:t>
            </w:r>
          </w:p>
        </w:tc>
      </w:tr>
    </w:tbl>
    <w:p>
      <w:pPr>
        <w:spacing w:after="0" w:line="240" w:lineRule="auto"/>
        <w:jc w:val="both"/>
        <w:widowControl w:val="0"/>
        <w:rPr>
          <w:rFonts w:ascii="Verdana" w:hAnsi="Verdana"/>
          <w:sz w:val="20"/>
          <w:szCs w:val="28"/>
          <w:lang w:val="sl-si"/>
        </w:rPr>
      </w:pPr>
      <w:r>
        <w:rPr>
          <w:rFonts w:ascii="Verdana" w:hAnsi="Verdana"/>
          <w:sz w:val="20"/>
          <w:szCs w:val="28"/>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after="120" w:line="240" w:lineRule="auto"/>
        <w:jc w:val="center"/>
        <w:widowControl w:val="0"/>
        <w:rPr>
          <w:rFonts w:ascii="Verdana" w:hAnsi="Verdana"/>
          <w:sz w:val="20"/>
          <w:szCs w:val="20"/>
          <w:lang w:val="sl-si"/>
        </w:rPr>
      </w:pPr>
      <w:r>
        <w:rPr>
          <w:rFonts w:ascii="Verdana" w:hAnsi="Verdana"/>
          <w:sz w:val="20"/>
          <w:szCs w:val="20"/>
          <w:lang w:val="sl-si"/>
        </w:rPr>
        <w:t>PODLAGA POGODBE</w:t>
      </w:r>
    </w:p>
    <w:tbl>
      <w:tblPr>
        <w:tblStyle w:val="TableNormal"/>
        <w:name w:val="Table10"/>
        <w:tabOrder w:val="0"/>
        <w:jc w:val="center"/>
        <w:tblInd w:w="0" w:type="dxa"/>
        <w:tblW w:w="9638" w:type="dxa"/>
        <w:tblLook w:val="04A0" w:firstRow="1" w:lastRow="0" w:firstColumn="1" w:lastColumn="0" w:noHBand="0" w:noVBand="1"/>
      </w:tblPr>
      <w:tblGrid>
        <w:gridCol w:w="4820"/>
        <w:gridCol w:w="4818"/>
      </w:tblGrid>
      <w:tr>
        <w:trPr>
          <w:tblHeader w:val="0"/>
          <w:cantSplit w:val="0"/>
          <w:trHeight w:val="20" w:hRule="atLeast"/>
        </w:trPr>
        <w:tc>
          <w:tcPr>
            <w:tcW w:w="4820"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b/>
                <w:sz w:val="20"/>
                <w:szCs w:val="20"/>
                <w:lang w:val="sl-si"/>
              </w:rPr>
            </w:pPr>
            <w:r>
              <w:rPr>
                <w:rFonts w:ascii="Verdana" w:hAnsi="Verdana"/>
                <w:b/>
                <w:sz w:val="20"/>
                <w:szCs w:val="20"/>
                <w:lang w:val="sl-si"/>
              </w:rPr>
              <w:t>Oznaka javnega naročila, ki je podlaga za sklenitev pogodbe</w:t>
            </w:r>
          </w:p>
        </w:tc>
        <w:tc>
          <w:tcPr>
            <w:tcW w:w="4818"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widowControl w:val="0"/>
            </w:pPr>
            <w:r/>
          </w:p>
        </w:tc>
      </w:tr>
    </w:tbl>
    <w:p>
      <w:pPr>
        <w:pStyle w:val="para36"/>
        <w:spacing w:after="120" w:line="240" w:lineRule="auto"/>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PREDMET POGODBE</w:t>
      </w:r>
    </w:p>
    <w:p>
      <w:pPr>
        <w:pStyle w:val="para36"/>
        <w:numPr>
          <w:ilvl w:val="0"/>
          <w:numId w:val="10"/>
        </w:numPr>
        <w:ind w:left="714" w:hanging="357"/>
        <w:spacing w:after="120" w:line="240" w:lineRule="auto"/>
        <w:jc w:val="both"/>
        <w:widowControl w:val="0"/>
        <w:rPr>
          <w:rFonts w:ascii="Verdana" w:hAnsi="Verdana"/>
          <w:sz w:val="20"/>
          <w:szCs w:val="20"/>
          <w:lang w:val="sl-si"/>
        </w:rPr>
      </w:pPr>
      <w:r>
        <w:rPr>
          <w:rFonts w:ascii="Verdana" w:hAnsi="Verdana"/>
          <w:sz w:val="20"/>
          <w:szCs w:val="28"/>
          <w:lang w:val="sl-si"/>
        </w:rPr>
        <w:t xml:space="preserve">Predmet </w:t>
      </w:r>
      <w:r>
        <w:rPr>
          <w:rFonts w:ascii="Verdana" w:hAnsi="Verdana"/>
          <w:sz w:val="20"/>
          <w:szCs w:val="20"/>
          <w:lang w:val="sl-si"/>
        </w:rPr>
        <w:t>pogodbe je Uvedba novega, v slovenski zdravstveni prostor integriranega, informacijskega sistema za podporo zdravstvu</w:t>
      </w:r>
      <w:r>
        <w:rPr>
          <w:rFonts w:ascii="Verdana" w:hAnsi="Verdana"/>
          <w:sz w:val="20"/>
          <w:szCs w:val="20"/>
          <w:lang w:val="sl-si"/>
        </w:rPr>
      </w:r>
    </w:p>
    <w:p>
      <w:pPr>
        <w:pStyle w:val="para36"/>
        <w:numPr>
          <w:ilvl w:val="0"/>
          <w:numId w:val="10"/>
        </w:numPr>
        <w:ind w:left="714" w:hanging="357"/>
        <w:spacing w:after="120" w:line="240" w:lineRule="auto"/>
        <w:jc w:val="both"/>
        <w:widowControl w:val="0"/>
        <w:rPr>
          <w:rFonts w:ascii="Verdana" w:hAnsi="Verdana"/>
          <w:sz w:val="20"/>
          <w:szCs w:val="20"/>
          <w:lang w:val="sl-si"/>
        </w:rPr>
      </w:pPr>
      <w:r>
        <w:rPr>
          <w:rFonts w:ascii="Verdana" w:hAnsi="Verdana"/>
          <w:sz w:val="20"/>
          <w:szCs w:val="20"/>
        </w:rPr>
        <w:t xml:space="preserve">Predmet pogodbe je tudi usposabljanje naročnikovega kadra in </w:t>
      </w:r>
      <w:r>
        <w:rPr>
          <w:rFonts w:ascii="Verdana" w:hAnsi="Verdana"/>
          <w:sz w:val="20"/>
          <w:szCs w:val="20"/>
        </w:rPr>
        <w:t>uporabniška</w:t>
      </w:r>
      <w:r>
        <w:rPr>
          <w:rFonts w:ascii="Verdana" w:hAnsi="Verdana"/>
          <w:sz w:val="20"/>
          <w:szCs w:val="20"/>
        </w:rPr>
        <w:t xml:space="preserve"> </w:t>
      </w:r>
      <w:r>
        <w:rPr>
          <w:rFonts w:ascii="Verdana" w:hAnsi="Verdana"/>
          <w:sz w:val="20"/>
          <w:szCs w:val="20"/>
        </w:rPr>
        <w:t>podpora</w:t>
      </w:r>
      <w:r>
        <w:rPr>
          <w:rFonts w:ascii="Verdana" w:hAnsi="Verdana"/>
          <w:sz w:val="20"/>
          <w:szCs w:val="20"/>
          <w:lang w:val="sl-si"/>
        </w:rPr>
      </w:r>
    </w:p>
    <w:p>
      <w:pPr>
        <w:pStyle w:val="para36"/>
        <w:numPr>
          <w:ilvl w:val="0"/>
          <w:numId w:val="10"/>
        </w:numPr>
        <w:ind w:left="714" w:hanging="357"/>
        <w:spacing w:after="120" w:line="240" w:lineRule="auto"/>
        <w:jc w:val="both"/>
        <w:widowControl w:val="0"/>
        <w:rPr>
          <w:rFonts w:ascii="Verdana" w:hAnsi="Verdana"/>
          <w:sz w:val="20"/>
          <w:szCs w:val="28"/>
          <w:lang w:val="sl-si"/>
        </w:rPr>
      </w:pPr>
      <w:r>
        <w:rPr>
          <w:rFonts w:ascii="Verdana" w:hAnsi="Verdana"/>
          <w:sz w:val="20"/>
          <w:szCs w:val="20"/>
          <w:lang w:val="sl-si"/>
        </w:rPr>
        <w:t>Vrsta, lastnosti, kakovost</w:t>
      </w:r>
      <w:r>
        <w:rPr>
          <w:rFonts w:ascii="Verdana" w:hAnsi="Verdana"/>
          <w:sz w:val="20"/>
          <w:szCs w:val="28"/>
          <w:lang w:val="sl-si"/>
        </w:rPr>
        <w:t xml:space="preserve"> in opis predmeta pogodbe so opredeljeni v obrazcu </w:t>
      </w:r>
      <w:r>
        <w:rPr>
          <w:rFonts w:ascii="Verdana" w:hAnsi="Verdana"/>
          <w:sz w:val="20"/>
          <w:szCs w:val="28"/>
          <w:lang w:val="sl-si"/>
        </w:rPr>
        <w:t>ePRO</w:t>
      </w:r>
      <w:r>
        <w:rPr>
          <w:rFonts w:ascii="Verdana" w:hAnsi="Verdana"/>
          <w:sz w:val="20"/>
          <w:szCs w:val="28"/>
          <w:lang w:val="sl-si"/>
        </w:rPr>
        <w:t xml:space="preserve"> – Specifikacije, ki je priloga pogodbe.</w:t>
      </w:r>
      <w:r>
        <w:rPr>
          <w:rFonts w:ascii="Verdana" w:hAnsi="Verdana"/>
          <w:sz w:val="20"/>
          <w:szCs w:val="28"/>
          <w:lang w:val="sl-si"/>
        </w:rPr>
      </w:r>
    </w:p>
    <w:p>
      <w:pPr>
        <w:spacing w:after="120" w:line="240" w:lineRule="auto"/>
        <w:jc w:val="both"/>
        <w:widowControl w:val="0"/>
        <w:rPr>
          <w:rFonts w:ascii="Verdana" w:hAnsi="Verdana"/>
          <w:sz w:val="20"/>
          <w:szCs w:val="28"/>
          <w:lang w:val="sl-si"/>
        </w:rPr>
      </w:pPr>
      <w:r>
        <w:rPr>
          <w:rFonts w:ascii="Verdana" w:hAnsi="Verdana"/>
          <w:sz w:val="20"/>
          <w:szCs w:val="28"/>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VZDRŽEVANJE</w:t>
      </w:r>
    </w:p>
    <w:p>
      <w:pPr>
        <w:pStyle w:val="para36"/>
        <w:numPr>
          <w:ilvl w:val="0"/>
          <w:numId w:val="22"/>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Vzdrževanje obsega redno vzdrževanje sistema, ki vsebuje tudi vse regulatorne prilagoditve delovanja informacijskega sistema, ter intervencijske posege. Podrobnejši opis vseh vzdrževalnih del je naveden v SLA pogodbi.</w:t>
      </w:r>
    </w:p>
    <w:p>
      <w:pPr>
        <w:pStyle w:val="para36"/>
        <w:numPr>
          <w:ilvl w:val="0"/>
          <w:numId w:val="22"/>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mora opozoriti naročnika, če ocenjuje, da bo predvideni mesečni obseg del za vzdrževanje odstopal od povprečja in bi naročniku s tem nastali dodatni stroški, izven rednega mesečnega pavšala. Skupaj z naročnikom se nato dogovorita o prioriteti in obsegu izvedbe storitev.</w:t>
      </w:r>
    </w:p>
    <w:p>
      <w:pPr>
        <w:pStyle w:val="para36"/>
        <w:numPr>
          <w:ilvl w:val="0"/>
          <w:numId w:val="22"/>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Dela in naloge, ki jih zajema redno vzdrževanje, izvajalec opravlja tekoče v takšnem obsegu, da je omogočeno neprekinjeno in nemoteno delovanje IS. Vsa dodatna redna vzdrževalna dela za katera so potrebna posebna navodila naročnika za izvedbo, s strani naročnika naroča izključno pristojna služba za informatiko.</w:t>
      </w:r>
    </w:p>
    <w:p>
      <w:pPr>
        <w:pStyle w:val="para36"/>
        <w:numPr>
          <w:ilvl w:val="0"/>
          <w:numId w:val="22"/>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za opravljeno vzdrževanje mesečno pripravi poročilo o delu, v katerem podrobno navede opravljene storitve vzdrževanja in njihov obseg v urah in je priloga e-računu. Naročnik si pridržuje pravico, da za ta namen predpiše vzorec mesečnega poročila.</w:t>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INTERVENCIJSKI POSEGI</w:t>
      </w:r>
    </w:p>
    <w:p>
      <w:pPr>
        <w:pStyle w:val="para36"/>
        <w:numPr>
          <w:ilvl w:val="0"/>
          <w:numId w:val="3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se zaveže, da bo zagotavljal nemoteno delovanje IS tako, da bo naročniku in uporabnikom omogočal redno in nemoteno izvajanje delovnih obveznosti v skladu z vsakokratno veljavno zakonodajo.</w:t>
      </w:r>
    </w:p>
    <w:p>
      <w:pPr>
        <w:pStyle w:val="para36"/>
        <w:numPr>
          <w:ilvl w:val="0"/>
          <w:numId w:val="3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 ta namen bo za reševanje težav povezanih z delovanjem IS, ki predstavljajo resno oviro za nemoteno opravljanje dela, izvajal nujne intervencijske posege.</w:t>
      </w:r>
    </w:p>
    <w:p>
      <w:pPr>
        <w:pStyle w:val="para36"/>
        <w:numPr>
          <w:ilvl w:val="0"/>
          <w:numId w:val="3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Intervencijske posege s strani naročnika naroča izključno pristojna služba za informatiko.</w:t>
      </w:r>
    </w:p>
    <w:p>
      <w:pPr>
        <w:pStyle w:val="para36"/>
        <w:numPr>
          <w:ilvl w:val="0"/>
          <w:numId w:val="3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 prijavi problema naročnik opredeli prioriteto napake in skladno s tem se izvajalec odzove glede pogoje določene v SLA pogodbi, ki je sestavni del te pogodbe in jo pogodbeni stranki sklenete ločeno.</w:t>
      </w:r>
    </w:p>
    <w:p>
      <w:pPr>
        <w:pStyle w:val="para36"/>
        <w:numPr>
          <w:ilvl w:val="0"/>
          <w:numId w:val="3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V pogodbi se opredelijo odzivni časi, časi odprave napak ipd.</w:t>
      </w:r>
    </w:p>
    <w:p>
      <w:pPr>
        <w:pStyle w:val="para36"/>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PODPORA UPORABNIKOM</w:t>
      </w:r>
    </w:p>
    <w:p>
      <w:pPr>
        <w:pStyle w:val="para36"/>
        <w:numPr>
          <w:ilvl w:val="0"/>
          <w:numId w:val="2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Izvajalec se zaveže, da bo zagotavljal uporabnikom ustrezno podporo pri uporabi IS tako, da bo omogočal tekoče izvajanje delovnih obveznosti v skladu z veljavno zakonodajo. </w:t>
      </w:r>
    </w:p>
    <w:p>
      <w:pPr>
        <w:pStyle w:val="para36"/>
        <w:numPr>
          <w:ilvl w:val="0"/>
          <w:numId w:val="2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bo za uporabnike naročnika vzpostavil ustrezen sistem za izvajanje podpore, pri čemer mora med drugim zagotavljati:</w:t>
      </w:r>
    </w:p>
    <w:p>
      <w:pPr>
        <w:pStyle w:val="para36"/>
        <w:numPr>
          <w:ilvl w:val="0"/>
          <w:numId w:val="1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obdelavo prejetih vprašanj in dokumentiranje incidenta, prejetega preko vzpostavljenega sistema,</w:t>
      </w:r>
    </w:p>
    <w:p>
      <w:pPr>
        <w:pStyle w:val="para36"/>
        <w:numPr>
          <w:ilvl w:val="0"/>
          <w:numId w:val="1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posredovanje rešitve za prejeti incident preko vzpostavljenega sistema,</w:t>
      </w:r>
    </w:p>
    <w:p>
      <w:pPr>
        <w:pStyle w:val="para36"/>
        <w:numPr>
          <w:ilvl w:val="0"/>
          <w:numId w:val="1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reševanje izvajanja prejetih incidentov v skladu z razpoložljivostjo in odzivnimi časi, definiranimi v SLA pogodbi,</w:t>
      </w:r>
    </w:p>
    <w:p>
      <w:pPr>
        <w:pStyle w:val="para36"/>
        <w:numPr>
          <w:ilvl w:val="0"/>
          <w:numId w:val="1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pripravo predlogov za bazo znanja in sodelovanje pri oblikovanju baze znanja ter vnos v bazo znanja v vzpostavljenem sistemu (predlogi za urejanje, vpisovanje rešitev in odstranjevanje zastarelih rešitev),</w:t>
      </w:r>
    </w:p>
    <w:p>
      <w:pPr>
        <w:pStyle w:val="para36"/>
        <w:numPr>
          <w:ilvl w:val="0"/>
          <w:numId w:val="1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v primeru zaznanih ponavljajočih se težav je izvajalec dolžan posodobiti uporabniška in tehnična navodila IS;</w:t>
      </w:r>
    </w:p>
    <w:p>
      <w:pPr>
        <w:pStyle w:val="para36"/>
        <w:numPr>
          <w:ilvl w:val="0"/>
          <w:numId w:val="11"/>
        </w:numPr>
        <w:ind w:left="1440" w:hanging="360"/>
        <w:spacing w:after="120" w:line="240" w:lineRule="auto"/>
        <w:jc w:val="both"/>
        <w:widowControl w:val="0"/>
        <w:rPr>
          <w:rFonts w:ascii="Verdana" w:hAnsi="Verdana"/>
          <w:sz w:val="20"/>
          <w:szCs w:val="20"/>
          <w:lang w:val="sl-si"/>
        </w:rPr>
      </w:pPr>
      <w:r>
        <w:rPr>
          <w:rFonts w:ascii="Verdana" w:hAnsi="Verdana"/>
          <w:sz w:val="20"/>
          <w:szCs w:val="20"/>
          <w:lang w:val="sl-si"/>
        </w:rPr>
        <w:t>ustrezen nivo komunikacij in odnosov z uporabniki IS in strokovnimi delavci naročnika, ki so ali morebiti bodo vključeni v sistem podpore.</w:t>
      </w:r>
    </w:p>
    <w:p>
      <w:pPr>
        <w:pStyle w:val="para36"/>
        <w:numPr>
          <w:ilvl w:val="0"/>
          <w:numId w:val="2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Primarni in edini kanal za posredovanje vprašanj v zvezi s tehničnim in vsebinskim področjem delovanja IS, je preko sistema za uporabniško podporo. Uporabniki pošiljajo vprašanja in prijavljajo napake izključno preko spletnega vmesnika, ki je del vzpostavljenega sistema. </w:t>
      </w:r>
    </w:p>
    <w:p>
      <w:pPr>
        <w:pStyle w:val="para36"/>
        <w:numPr>
          <w:ilvl w:val="0"/>
          <w:numId w:val="2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Izvajanje podpore preko telefona ali elektronske pošte se izvaja zgolj v nujnih primerih.</w:t>
      </w:r>
    </w:p>
    <w:p>
      <w:pPr>
        <w:pStyle w:val="para36"/>
        <w:numPr>
          <w:ilvl w:val="0"/>
          <w:numId w:val="25"/>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Odzivni časi in časi za pomoč uporabnikom, kot tudi ostali pogoji, so opredeljeni v SLA pogodbi.</w:t>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USPOSABLJANJE UPORABNIKOV</w:t>
      </w:r>
    </w:p>
    <w:p>
      <w:pPr>
        <w:pStyle w:val="para36"/>
        <w:numPr>
          <w:ilvl w:val="0"/>
          <w:numId w:val="2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Izvajalec se zaveže, da bo ob implementaciji in uvedbi izvedel usposabljanje uporabnikov naročnika. </w:t>
      </w:r>
    </w:p>
    <w:p>
      <w:pPr>
        <w:pStyle w:val="para36"/>
        <w:numPr>
          <w:ilvl w:val="0"/>
          <w:numId w:val="2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Za točno določen termin, ali več terminov in obseg usposabljanja se dogovorita izvajalec in naročnik po podpisu pogodbe.</w:t>
      </w:r>
    </w:p>
    <w:p>
      <w:pPr>
        <w:pStyle w:val="para36"/>
        <w:numPr>
          <w:ilvl w:val="0"/>
          <w:numId w:val="2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Pred začetkom izvajanja usposabljanja (najmanj 7 delovnih dni) mora izvajalec naročniku posredovati tudi gradivo za usposabljanje, ki ga strokovna skupina naročnika pregleda in potrdi.</w:t>
      </w:r>
    </w:p>
    <w:p>
      <w:pPr>
        <w:pStyle w:val="para36"/>
        <w:numPr>
          <w:ilvl w:val="0"/>
          <w:numId w:val="23"/>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Po zaključenem usposabljanju izvajalec pripravi poročilo za naročnika, v katerem navede vsebino usposabljanja, čas trajanja usposabljanja in število prisotnih udeležencev, ki ga odda kot prilogo k e-računu.</w:t>
      </w:r>
    </w:p>
    <w:p>
      <w:pPr>
        <w:pStyle w:val="para36"/>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NADGRADNJE IS</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Za nadgradnje se štejejo dela, ki niso dogovorjena kot vzdrževanje. Gre predvsem za prilagoditve delovanja sistema izven dogovorjenega obsega ali pa za nove funkcionalnosti oz. prilagoditve, ki niso zajete v specifikacijah.</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Naročnik bo naročal storitve nadgradnje obstoječih modulov/sklopov sistema glede na potrebe po nadgradnji. </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Storitve nadgradenj se naročajo pisno. Izvajalec v skladu s posameznim povpraševanjem naročnika predloži ponudbo z opredeljenim obsegom potrebnih storitev in končno skupno ceno. </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Storitve nadgradenj s strani naročnika naroča izključno pristojna služba za informatiko. </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Naročnik si pridržuje pravico, da se na podlagi prispele ponudbe za storitve nadgradenj, z izvajalcem posvetuje glede vsakega posamičnega naročila storitev. </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Končna skupna cena izvedbe zahtevane nadgradnje je fiksna, če naročnik v posameznem povpraševanju ne določi drugače.</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Roki za izvedbo nadgradenj informacijskega sistema se določijo v vsakokratnem naročilu.  </w:t>
      </w:r>
    </w:p>
    <w:p>
      <w:pPr>
        <w:pStyle w:val="para36"/>
        <w:numPr>
          <w:ilvl w:val="0"/>
          <w:numId w:val="20"/>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Izvajalec začne opravljati posamezno storitev, ko od naročnika pridobi pisno potrditev naročila.</w:t>
      </w:r>
    </w:p>
    <w:p>
      <w:pPr>
        <w:pStyle w:val="para36"/>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PREVZEM NADGRADENJ</w:t>
      </w:r>
    </w:p>
    <w:p>
      <w:pPr>
        <w:pStyle w:val="para36"/>
        <w:numPr>
          <w:ilvl w:val="0"/>
          <w:numId w:val="17"/>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Prevzem nadgradenj,</w:t>
      </w:r>
      <w:r>
        <w:t xml:space="preserve"> </w:t>
      </w:r>
      <w:r>
        <w:rPr>
          <w:rFonts w:ascii="Verdana" w:hAnsi="Verdana"/>
          <w:sz w:val="20"/>
          <w:szCs w:val="20"/>
          <w:lang w:val="sl-si"/>
        </w:rPr>
        <w:t>izdelanih</w:t>
      </w:r>
      <w:r>
        <w:rPr>
          <w:rFonts w:ascii="Verdana" w:hAnsi="Verdana"/>
          <w:sz w:val="20"/>
          <w:szCs w:val="20"/>
          <w:lang w:val="sl-si"/>
        </w:rPr>
        <w:t xml:space="preserve"> v skladu s vsakokratno specifikacijo zahtev za  posamezno povpraševanje, se izvede s prevzemnim zapisnikom, ki ga pogodbeni stranki izpolnita po izvedenem testiranju in prevzemu. </w:t>
      </w:r>
      <w:r>
        <w:rPr>
          <w:rFonts w:ascii="Verdana" w:hAnsi="Verdana"/>
          <w:sz w:val="20"/>
          <w:szCs w:val="20"/>
          <w:lang w:val="sl-si"/>
        </w:rPr>
      </w:r>
    </w:p>
    <w:p>
      <w:pPr>
        <w:pStyle w:val="para36"/>
        <w:numPr>
          <w:ilvl w:val="0"/>
          <w:numId w:val="17"/>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Naročnik prevzem lahko zavrne samo v primeru, ko dobavljena dela niso izvedena skladno s potrjeno naročilnico.</w:t>
      </w:r>
    </w:p>
    <w:p>
      <w:pPr>
        <w:pStyle w:val="para36"/>
        <w:numPr>
          <w:ilvl w:val="0"/>
          <w:numId w:val="17"/>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 xml:space="preserve">Izvajalec se obveže, da bo ob prevzemu na lokaciji naročnika predal naročniku vso dokumentacijo o storitvah in izdelkih, vključno z dokumentacijo o nastavitvah za programske produkte. </w:t>
      </w:r>
    </w:p>
    <w:p>
      <w:pPr>
        <w:pStyle w:val="para36"/>
        <w:numPr>
          <w:ilvl w:val="0"/>
          <w:numId w:val="17"/>
        </w:numPr>
        <w:ind w:left="720" w:hanging="360"/>
        <w:spacing w:after="120" w:line="240" w:lineRule="auto"/>
        <w:jc w:val="both"/>
        <w:widowControl w:val="0"/>
        <w:rPr>
          <w:rFonts w:ascii="Verdana" w:hAnsi="Verdana"/>
          <w:sz w:val="20"/>
          <w:szCs w:val="20"/>
          <w:lang w:val="sl-si"/>
        </w:rPr>
      </w:pPr>
      <w:r>
        <w:rPr>
          <w:rFonts w:ascii="Verdana" w:hAnsi="Verdana"/>
          <w:sz w:val="20"/>
          <w:szCs w:val="20"/>
          <w:lang w:val="sl-si"/>
        </w:rPr>
        <w:t>Naročnik ob vsaki nadgradnji lahko naroči prečiščeno besedilo v elektronski obliki vseh tistih uporabniških priročnikov, ki jih nadgradnje spreminjajo.</w:t>
      </w:r>
    </w:p>
    <w:p>
      <w:pPr>
        <w:spacing w:after="120" w:line="240" w:lineRule="auto"/>
        <w:jc w:val="both"/>
        <w:widowControl w:val="0"/>
        <w:rPr>
          <w:rFonts w:ascii="Verdana" w:hAnsi="Verdana"/>
          <w:sz w:val="20"/>
          <w:szCs w:val="28"/>
          <w:lang w:val="sl-si"/>
        </w:rPr>
      </w:pPr>
      <w:r>
        <w:rPr>
          <w:rFonts w:ascii="Verdana" w:hAnsi="Verdana"/>
          <w:sz w:val="20"/>
          <w:szCs w:val="28"/>
          <w:lang w:val="sl-si"/>
        </w:rPr>
      </w:r>
    </w:p>
    <w:p>
      <w:pPr>
        <w:pStyle w:val="para36"/>
        <w:numPr>
          <w:ilvl w:val="0"/>
          <w:numId w:val="14"/>
        </w:numPr>
        <w:ind w:left="720" w:hanging="360"/>
        <w:spacing w:after="120" w:line="240" w:lineRule="auto"/>
        <w:jc w:val="center"/>
        <w:widowControl w:val="0"/>
        <w:rPr>
          <w:rFonts w:ascii="Verdana" w:hAnsi="Verdana"/>
          <w:sz w:val="20"/>
          <w:szCs w:val="28"/>
          <w:lang w:val="sl-si"/>
        </w:rPr>
      </w:pPr>
      <w:r>
        <w:rPr>
          <w:rFonts w:ascii="Verdana" w:hAnsi="Verdana"/>
          <w:sz w:val="20"/>
          <w:szCs w:val="28"/>
          <w:lang w:val="sl-si"/>
        </w:rPr>
        <w:t>člen</w:t>
      </w:r>
    </w:p>
    <w:p>
      <w:pPr>
        <w:spacing w:before="120" w:after="120" w:line="240" w:lineRule="auto"/>
        <w:jc w:val="center"/>
        <w:widowControl w:val="0"/>
        <w:rPr>
          <w:rFonts w:ascii="Verdana" w:hAnsi="Verdana"/>
          <w:sz w:val="20"/>
          <w:szCs w:val="28"/>
          <w:lang w:val="sl-si"/>
        </w:rPr>
      </w:pPr>
      <w:r>
        <w:rPr>
          <w:rFonts w:ascii="Verdana" w:hAnsi="Verdana"/>
          <w:sz w:val="20"/>
          <w:szCs w:val="28"/>
          <w:lang w:val="sl-si"/>
        </w:rPr>
        <w:t>KOLIČINE, CENE IN IZVEDBENI POGOJI</w:t>
      </w:r>
    </w:p>
    <w:tbl>
      <w:tblPr>
        <w:tblStyle w:val="TableNormal"/>
        <w:name w:val="Table11"/>
        <w:tabOrder w:val="0"/>
        <w:jc w:val="center"/>
        <w:tblInd w:w="0" w:type="dxa"/>
        <w:tblW w:w="9638" w:type="dxa"/>
        <w:tblLook w:val="04A0" w:firstRow="1" w:lastRow="0" w:firstColumn="1" w:lastColumn="0" w:noHBand="0" w:noVBand="1"/>
      </w:tblPr>
      <w:tblGrid>
        <w:gridCol w:w="562"/>
        <w:gridCol w:w="2967"/>
        <w:gridCol w:w="1128"/>
        <w:gridCol w:w="1266"/>
        <w:gridCol w:w="1978"/>
        <w:gridCol w:w="1737"/>
      </w:tblGrid>
      <w:tr>
        <w:trPr>
          <w:tblHeader w:val="0"/>
          <w:cantSplit w:val="0"/>
          <w:trHeight w:val="20" w:hRule="atLeast"/>
        </w:trPr>
        <w:tc>
          <w:tcPr>
            <w:tcW w:w="9638" w:type="dxa"/>
            <w:gridSpan w:val="6"/>
            <w:vAlign w:val="center"/>
            <w:shd w:val="solid" w:color="FDB940" tmshd="1677721856, 0, 4241917"/>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CENA</w:t>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Št.</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Opis postavke</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Enota mere</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Količina</w:t>
            </w:r>
          </w:p>
        </w:tc>
        <w:tc>
          <w:tcPr>
            <w:tcW w:w="197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Cena na enoto brez DDV</w:t>
            </w:r>
          </w:p>
        </w:tc>
        <w:tc>
          <w:tcPr>
            <w:tcW w:w="173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Cena za celotno količino brez DDV</w:t>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1</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 xml:space="preserve">Neizključna in neprenosljiva licenca za neomejeno uporabo IS </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kos</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1</w:t>
            </w:r>
          </w:p>
        </w:tc>
        <w:tc>
          <w:tcPr>
            <w:tcW w:w="1978"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2</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Migracija podatkov</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izvedba</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1</w:t>
            </w:r>
          </w:p>
        </w:tc>
        <w:tc>
          <w:tcPr>
            <w:tcW w:w="1978"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3</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 xml:space="preserve">Inštalacija, prilagoditev, testiranje, produkcijski zagon IS </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izvedba</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po potrebi</w:t>
            </w:r>
          </w:p>
        </w:tc>
        <w:tc>
          <w:tcPr>
            <w:tcW w:w="1978"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4</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Celovita rešitev za akreditirano e-hrambo pri Arhivu RS*</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kos</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1</w:t>
            </w:r>
          </w:p>
        </w:tc>
        <w:tc>
          <w:tcPr>
            <w:tcW w:w="1978"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5</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Usposabljanje uporabnikov</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izvedba</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po potrebi</w:t>
            </w:r>
          </w:p>
        </w:tc>
        <w:tc>
          <w:tcPr>
            <w:tcW w:w="1978"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562"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6</w:t>
            </w:r>
          </w:p>
        </w:tc>
        <w:tc>
          <w:tcPr>
            <w:tcW w:w="2967"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Vzdrževanje ponujene rešitve</w:t>
            </w:r>
          </w:p>
        </w:tc>
        <w:tc>
          <w:tcPr>
            <w:tcW w:w="1128"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mesečni pavšal</w:t>
            </w:r>
          </w:p>
        </w:tc>
        <w:tc>
          <w:tcPr>
            <w:tcW w:w="1266" w:type="dxa"/>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96</w:t>
            </w:r>
          </w:p>
        </w:tc>
        <w:tc>
          <w:tcPr>
            <w:tcW w:w="1978"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7901" w:type="dxa"/>
            <w:gridSpan w:val="5"/>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right"/>
              <w:widowControl w:val="0"/>
              <w:rPr>
                <w:rFonts w:ascii="Verdana" w:hAnsi="Verdana"/>
                <w:sz w:val="20"/>
                <w:szCs w:val="20"/>
                <w:lang w:val="sl-si"/>
              </w:rPr>
            </w:pPr>
            <w:r>
              <w:rPr>
                <w:rFonts w:ascii="Verdana" w:hAnsi="Verdana"/>
                <w:b/>
                <w:bCs/>
                <w:sz w:val="20"/>
                <w:szCs w:val="20"/>
                <w:lang w:val="sl-si"/>
              </w:rPr>
              <w:t xml:space="preserve">SKUPAJ </w:t>
            </w: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7901" w:type="dxa"/>
            <w:gridSpan w:val="5"/>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right"/>
              <w:widowControl w:val="0"/>
              <w:rPr>
                <w:rFonts w:ascii="Verdana" w:hAnsi="Verdana"/>
                <w:sz w:val="20"/>
                <w:szCs w:val="20"/>
                <w:lang w:val="sl-si"/>
              </w:rPr>
            </w:pPr>
            <w:r>
              <w:rPr>
                <w:rFonts w:ascii="Verdana" w:hAnsi="Verdana"/>
                <w:b/>
                <w:bCs/>
                <w:sz w:val="20"/>
                <w:szCs w:val="20"/>
                <w:lang w:val="sl-si"/>
              </w:rPr>
              <w:t>DDV</w:t>
            </w: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7901" w:type="dxa"/>
            <w:gridSpan w:val="5"/>
            <w:vAlign w:val="center"/>
            <w:shd w:val="solid" w:color="FFF0D5" tmshd="1677721856, 16777215, 14020863"/>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right"/>
              <w:widowControl w:val="0"/>
              <w:rPr>
                <w:rFonts w:ascii="Verdana" w:hAnsi="Verdana"/>
                <w:sz w:val="20"/>
                <w:szCs w:val="20"/>
                <w:lang w:val="sl-si"/>
              </w:rPr>
            </w:pPr>
            <w:r>
              <w:rPr>
                <w:rFonts w:ascii="Verdana" w:hAnsi="Verdana"/>
                <w:b/>
                <w:bCs/>
                <w:sz w:val="20"/>
                <w:szCs w:val="20"/>
                <w:lang w:val="sl-si"/>
              </w:rPr>
              <w:t>SKUPAJ Z DDV</w:t>
            </w:r>
            <w:r>
              <w:rPr>
                <w:rFonts w:ascii="Verdana" w:hAnsi="Verdana"/>
                <w:sz w:val="20"/>
                <w:szCs w:val="20"/>
                <w:lang w:val="sl-si"/>
              </w:rPr>
            </w:r>
          </w:p>
        </w:tc>
        <w:tc>
          <w:tcPr>
            <w:tcW w:w="1737" w:type="dxa"/>
            <w:vAlign w:val="center"/>
            <w:shd w:val="solid" w:color="FFFFFF" tmshd="1677721856, 16777215, 16777215"/>
            <w:tcMar>
              <w:top w:w="108" w:type="dxa"/>
              <w:left w:w="57" w:type="dxa"/>
              <w:bottom w:w="108"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bl>
    <w:p>
      <w:pPr>
        <w:spacing w:after="0" w:line="240" w:lineRule="auto"/>
        <w:jc w:val="both"/>
        <w:rPr>
          <w:rFonts w:ascii="Verdana" w:hAnsi="Verdana"/>
          <w:lang w:val="sl-si"/>
        </w:rPr>
      </w:pPr>
      <w:r>
        <w:rPr>
          <w:rFonts w:ascii="Verdana" w:hAnsi="Verdana"/>
          <w:lang w:val="sl-si"/>
        </w:rPr>
      </w:r>
    </w:p>
    <w:p>
      <w:pPr>
        <w:spacing w:after="0" w:line="240" w:lineRule="auto"/>
        <w:jc w:val="both"/>
        <w:rPr>
          <w:rFonts w:ascii="Verdana" w:hAnsi="Verdana"/>
          <w:lang w:val="sl-si"/>
        </w:rPr>
      </w:pPr>
      <w:r>
        <w:rPr>
          <w:rFonts w:ascii="Verdana" w:hAnsi="Verdana"/>
          <w:sz w:val="20"/>
          <w:szCs w:val="20"/>
          <w:lang w:val="sl-si"/>
        </w:rPr>
        <w:t>* V kolikor je to vključeno že v ceno pri postavki 1 se v tej postavki samo napiše vključeno pri 1.</w:t>
      </w:r>
      <w:r>
        <w:rPr>
          <w:rFonts w:ascii="Verdana" w:hAnsi="Verdana"/>
          <w:lang w:val="sl-si"/>
        </w:rPr>
      </w:r>
    </w:p>
    <w:p>
      <w:pPr>
        <w:pStyle w:val="para36"/>
        <w:numPr>
          <w:ilvl w:val="0"/>
          <w:numId w:val="6"/>
        </w:numPr>
        <w:ind w:left="714" w:hanging="357"/>
        <w:spacing w:before="120" w:after="120" w:line="240" w:lineRule="auto"/>
        <w:jc w:val="both"/>
        <w:widowControl w:val="0"/>
        <w:rPr>
          <w:rFonts w:ascii="Verdana" w:hAnsi="Verdana"/>
          <w:sz w:val="20"/>
          <w:szCs w:val="28"/>
          <w:lang w:val="sl-si"/>
        </w:rPr>
      </w:pPr>
      <w:r>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Style w:val="TableNormal"/>
        <w:name w:val="Table12"/>
        <w:tabOrder w:val="0"/>
        <w:jc w:val="center"/>
        <w:tblInd w:w="0" w:type="dxa"/>
        <w:tblW w:w="9638" w:type="dxa"/>
        <w:tblLook w:val="04A0" w:firstRow="1" w:lastRow="0" w:firstColumn="1" w:lastColumn="0" w:noHBand="0" w:noVBand="1"/>
      </w:tblPr>
      <w:tblGrid>
        <w:gridCol w:w="2410"/>
        <w:gridCol w:w="3614"/>
        <w:gridCol w:w="3614"/>
      </w:tblGrid>
      <w:tr>
        <w:trPr>
          <w:tblHeader w:val="0"/>
          <w:cantSplit w:val="0"/>
          <w:trHeight w:val="20" w:hRule="atLeast"/>
        </w:trPr>
        <w:tc>
          <w:tcPr>
            <w:tcW w:w="2410"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Lokacija realizacije</w:t>
            </w:r>
          </w:p>
        </w:tc>
        <w:tc>
          <w:tcPr>
            <w:tcW w:w="7228" w:type="dxa"/>
            <w:gridSpan w:val="2"/>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Sedež naročnika</w:t>
            </w:r>
          </w:p>
        </w:tc>
      </w:tr>
      <w:tr>
        <w:trPr>
          <w:tblHeader w:val="0"/>
          <w:cantSplit w:val="0"/>
          <w:trHeight w:val="20" w:hRule="atLeast"/>
        </w:trPr>
        <w:tc>
          <w:tcPr>
            <w:tcW w:w="2410"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Izvedbeni rok</w:t>
            </w:r>
          </w:p>
        </w:tc>
        <w:tc>
          <w:tcPr>
            <w:tcW w:w="7228" w:type="dxa"/>
            <w:gridSpan w:val="2"/>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Produkcijski zagon sistema v roku 12 mesecev od podpisa pogodbe.</w:t>
            </w:r>
          </w:p>
          <w:p>
            <w:pPr>
              <w:spacing w:after="0" w:line="240" w:lineRule="auto"/>
              <w:widowControl w:val="0"/>
              <w:rPr>
                <w:rFonts w:ascii="Verdana" w:hAnsi="Verdana"/>
                <w:sz w:val="20"/>
                <w:szCs w:val="20"/>
                <w:lang w:val="sl-si"/>
              </w:rPr>
            </w:pPr>
            <w:r>
              <w:rPr>
                <w:rFonts w:ascii="Verdana" w:hAnsi="Verdana"/>
                <w:sz w:val="20"/>
                <w:szCs w:val="20"/>
                <w:lang w:val="sl-si"/>
              </w:rPr>
            </w:r>
          </w:p>
          <w:p>
            <w:pPr>
              <w:spacing w:after="0" w:line="240" w:lineRule="auto"/>
              <w:widowControl w:val="0"/>
              <w:rPr>
                <w:rFonts w:ascii="Verdana" w:hAnsi="Verdana"/>
                <w:sz w:val="20"/>
                <w:szCs w:val="20"/>
                <w:lang w:val="sl-si"/>
              </w:rPr>
            </w:pPr>
            <w:r>
              <w:rPr>
                <w:rFonts w:ascii="Verdana" w:hAnsi="Verdana"/>
                <w:sz w:val="20"/>
                <w:szCs w:val="20"/>
                <w:lang w:val="sl-si"/>
              </w:rPr>
              <w:t>Za morebitne nadgradnje je rok za implementacijo v skladu z dogovorom med naročnikom in izvajalcem.</w:t>
            </w:r>
          </w:p>
        </w:tc>
      </w:tr>
      <w:tr>
        <w:trPr>
          <w:tblHeader w:val="0"/>
          <w:cantSplit w:val="0"/>
          <w:trHeight w:val="20" w:hRule="atLeast"/>
        </w:trPr>
        <w:tc>
          <w:tcPr>
            <w:tcW w:w="2410"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Način plačila in plačilni rok</w:t>
            </w:r>
          </w:p>
        </w:tc>
        <w:tc>
          <w:tcPr>
            <w:tcW w:w="7228" w:type="dxa"/>
            <w:gridSpan w:val="2"/>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120" w:line="240" w:lineRule="auto"/>
              <w:jc w:val="both"/>
              <w:widowControl w:val="0"/>
              <w:rPr>
                <w:rFonts w:ascii="Verdana" w:hAnsi="Verdana"/>
                <w:sz w:val="20"/>
                <w:szCs w:val="20"/>
                <w:lang w:val="sl-si"/>
              </w:rPr>
            </w:pPr>
            <w:r>
              <w:rPr>
                <w:rFonts w:ascii="Verdana" w:hAnsi="Verdana"/>
                <w:sz w:val="20"/>
                <w:szCs w:val="20"/>
                <w:lang w:val="sl-si"/>
              </w:rPr>
              <w:t>Izvajalec izstavi naročniku račun v predpisani elektronski obliki (eRačun), na podlagi prevzemnega zapisnika, ki ga je ob izvajalčevi pravilni izpolnitvi podpisal naročnik.</w:t>
            </w:r>
          </w:p>
          <w:p>
            <w:pPr>
              <w:spacing w:after="120" w:line="240" w:lineRule="auto"/>
              <w:jc w:val="both"/>
              <w:widowControl w:val="0"/>
              <w:rPr>
                <w:rFonts w:ascii="Verdana" w:hAnsi="Verdana"/>
                <w:sz w:val="20"/>
                <w:szCs w:val="20"/>
                <w:lang w:val="sl-si"/>
              </w:rPr>
            </w:pPr>
            <w:r>
              <w:rPr>
                <w:rFonts w:ascii="Verdana" w:hAnsi="Verdana"/>
                <w:sz w:val="20"/>
                <w:szCs w:val="20"/>
                <w:lang w:val="sl-si"/>
              </w:rPr>
              <w:t>Za postavki 1 in 4: izvajalec izstavi račun takoj po končnem prevzemu.</w:t>
            </w:r>
          </w:p>
          <w:p>
            <w:pPr>
              <w:spacing w:after="120" w:line="240" w:lineRule="auto"/>
              <w:jc w:val="both"/>
              <w:widowControl w:val="0"/>
              <w:rPr>
                <w:rFonts w:ascii="Verdana" w:hAnsi="Verdana"/>
                <w:sz w:val="20"/>
                <w:szCs w:val="20"/>
                <w:lang w:val="sl-si"/>
              </w:rPr>
            </w:pPr>
            <w:r>
              <w:rPr>
                <w:rFonts w:ascii="Verdana" w:hAnsi="Verdana"/>
                <w:sz w:val="20"/>
                <w:szCs w:val="20"/>
                <w:lang w:val="sl-si"/>
              </w:rPr>
              <w:t>Za postavko 2: Izvajalec izstavi račun v višini 70% ob namestitvi vseh zahtevanih funkcionalnosti, 30% pa ob končnem prevzemu.</w:t>
            </w:r>
          </w:p>
          <w:p>
            <w:pPr>
              <w:spacing w:after="120" w:line="240" w:lineRule="auto"/>
              <w:jc w:val="both"/>
              <w:widowControl w:val="0"/>
              <w:rPr>
                <w:rFonts w:ascii="Verdana" w:hAnsi="Verdana"/>
                <w:sz w:val="20"/>
                <w:szCs w:val="20"/>
                <w:lang w:val="sl-si"/>
              </w:rPr>
            </w:pPr>
            <w:r>
              <w:rPr>
                <w:rFonts w:ascii="Verdana" w:hAnsi="Verdana"/>
                <w:sz w:val="20"/>
                <w:szCs w:val="20"/>
                <w:lang w:val="sl-si"/>
              </w:rPr>
              <w:t>Za postavke 3, 5 in 6: izvajalec izstavlja račune do 8. v mesecu za pretekli mesec, v katerem je bil uspešno opravljen prevzem storitev.</w:t>
            </w:r>
          </w:p>
          <w:p>
            <w:pPr>
              <w:spacing w:after="0" w:line="240" w:lineRule="auto"/>
              <w:jc w:val="both"/>
              <w:widowControl w:val="0"/>
              <w:rPr>
                <w:rFonts w:ascii="Verdana" w:hAnsi="Verdana"/>
                <w:sz w:val="20"/>
                <w:szCs w:val="20"/>
                <w:lang w:val="sl-si"/>
              </w:rPr>
            </w:pPr>
            <w:r>
              <w:rPr>
                <w:rFonts w:ascii="Verdana" w:hAnsi="Verdana"/>
                <w:sz w:val="20"/>
                <w:szCs w:val="20"/>
                <w:lang w:val="sl-si"/>
              </w:rPr>
              <w:t xml:space="preserve">Plačilni rok: </w:t>
            </w:r>
          </w:p>
          <w:p>
            <w:pPr>
              <w:spacing w:after="0" w:line="240" w:lineRule="auto"/>
              <w:jc w:val="both"/>
              <w:widowControl w:val="0"/>
              <w:rPr>
                <w:rFonts w:ascii="Verdana" w:hAnsi="Verdana"/>
                <w:sz w:val="20"/>
                <w:szCs w:val="20"/>
                <w:lang w:val="sl-si"/>
              </w:rPr>
            </w:pPr>
            <w:r>
              <w:rPr>
                <w:rFonts w:ascii="Verdana" w:hAnsi="Verdana"/>
                <w:sz w:val="20"/>
                <w:szCs w:val="20"/>
                <w:lang w:val="sl-si"/>
              </w:rPr>
              <w:t>60 dni od dneva prejema pravilno izstavljenega računa ali skladno z zakonom.</w:t>
            </w:r>
          </w:p>
        </w:tc>
      </w:tr>
      <w:tr>
        <w:trPr>
          <w:tblHeader w:val="0"/>
          <w:cantSplit w:val="0"/>
          <w:trHeight w:val="20" w:hRule="atLeast"/>
        </w:trPr>
        <w:tc>
          <w:tcPr>
            <w:tcW w:w="2410" w:type="dxa"/>
            <w:vMerge w:val="restart"/>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Pooblaščeni predstavniki strank za koordinacijo izvedbe projekta</w:t>
            </w:r>
          </w:p>
        </w:tc>
        <w:tc>
          <w:tcPr>
            <w:tcW w:w="3614"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Na strani naročnika</w:t>
            </w:r>
          </w:p>
        </w:tc>
        <w:tc>
          <w:tcPr>
            <w:tcW w:w="3614"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Na strani izvajalca</w:t>
            </w:r>
          </w:p>
        </w:tc>
      </w:tr>
      <w:tr>
        <w:trPr>
          <w:tblHeader w:val="0"/>
          <w:cantSplit w:val="0"/>
          <w:trHeight w:val="20" w:hRule="atLeast"/>
        </w:trPr>
        <w:tc>
          <w:tcPr>
            <w:tcW w:w="2410" w:type="dxa"/>
            <w:vMerge/>
            <w:vAlign w:val="center"/>
            <w:shd w:val="solid" w:color="FAAA5A" tmshd="1677721856, 0, 5942010"/>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tc>
        <w:tc>
          <w:tcPr>
            <w:tcW w:w="3614"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Ime in priimek:</w:t>
            </w:r>
          </w:p>
          <w:p>
            <w:pPr>
              <w:spacing w:after="0" w:line="240" w:lineRule="auto"/>
              <w:widowControl w:val="0"/>
              <w:rPr>
                <w:rFonts w:ascii="Verdana" w:hAnsi="Verdana"/>
                <w:sz w:val="20"/>
                <w:szCs w:val="20"/>
                <w:lang w:val="sl-si"/>
              </w:rPr>
            </w:pPr>
            <w:r>
              <w:rPr>
                <w:rFonts w:ascii="Verdana" w:hAnsi="Verdana"/>
                <w:sz w:val="20"/>
                <w:szCs w:val="20"/>
                <w:lang w:val="sl-si"/>
              </w:rPr>
              <w:t>Tel. št.:</w:t>
            </w:r>
          </w:p>
          <w:p>
            <w:pPr>
              <w:spacing w:after="0" w:line="240" w:lineRule="auto"/>
              <w:widowControl w:val="0"/>
              <w:rPr>
                <w:rFonts w:ascii="Verdana" w:hAnsi="Verdana"/>
                <w:sz w:val="20"/>
                <w:szCs w:val="20"/>
                <w:lang w:val="sl-si"/>
              </w:rPr>
            </w:pPr>
            <w:r>
              <w:rPr>
                <w:rFonts w:ascii="Verdana" w:hAnsi="Verdana"/>
                <w:sz w:val="20"/>
                <w:szCs w:val="20"/>
                <w:lang w:val="sl-si"/>
              </w:rPr>
              <w:t>E-pošta:</w:t>
            </w:r>
          </w:p>
        </w:tc>
        <w:tc>
          <w:tcPr>
            <w:tcW w:w="3614" w:type="dxa"/>
            <w:vAlign w:val="center"/>
            <w:shd w:val="none"/>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Ime in priimek:</w:t>
            </w:r>
          </w:p>
          <w:p>
            <w:pPr>
              <w:spacing w:after="0" w:line="240" w:lineRule="auto"/>
              <w:widowControl w:val="0"/>
              <w:rPr>
                <w:rFonts w:ascii="Verdana" w:hAnsi="Verdana"/>
                <w:sz w:val="20"/>
                <w:szCs w:val="20"/>
                <w:lang w:val="sl-si"/>
              </w:rPr>
            </w:pPr>
            <w:r>
              <w:rPr>
                <w:rFonts w:ascii="Verdana" w:hAnsi="Verdana"/>
                <w:sz w:val="20"/>
                <w:szCs w:val="20"/>
                <w:lang w:val="sl-si"/>
              </w:rPr>
              <w:t>Tel. št.:</w:t>
            </w:r>
          </w:p>
          <w:p>
            <w:pPr>
              <w:spacing w:after="0" w:line="240" w:lineRule="auto"/>
              <w:widowControl w:val="0"/>
              <w:rPr>
                <w:rFonts w:ascii="Verdana" w:hAnsi="Verdana"/>
                <w:sz w:val="20"/>
                <w:szCs w:val="20"/>
                <w:lang w:val="sl-si"/>
              </w:rPr>
            </w:pPr>
            <w:r>
              <w:rPr>
                <w:rFonts w:ascii="Verdana" w:hAnsi="Verdana"/>
                <w:sz w:val="20"/>
                <w:szCs w:val="20"/>
                <w:lang w:val="sl-si"/>
              </w:rPr>
              <w:t>E-pošta:</w:t>
            </w:r>
          </w:p>
        </w:tc>
      </w:tr>
      <w:tr>
        <w:trPr>
          <w:tblHeader w:val="0"/>
          <w:cantSplit w:val="0"/>
          <w:trHeight w:val="20" w:hRule="atLeast"/>
        </w:trPr>
        <w:tc>
          <w:tcPr>
            <w:tcW w:w="2410" w:type="dxa"/>
            <w:vMerge w:val="restart"/>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Zamuda in pogodbena kazen</w:t>
            </w:r>
          </w:p>
        </w:tc>
        <w:tc>
          <w:tcPr>
            <w:tcW w:w="3614"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Višina</w:t>
            </w:r>
          </w:p>
        </w:tc>
        <w:tc>
          <w:tcPr>
            <w:tcW w:w="3614"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Maksimalna višina</w:t>
            </w:r>
          </w:p>
        </w:tc>
      </w:tr>
      <w:tr>
        <w:trPr>
          <w:tblHeader w:val="0"/>
          <w:cantSplit w:val="0"/>
          <w:trHeight w:val="20" w:hRule="atLeast"/>
        </w:trPr>
        <w:tc>
          <w:tcPr>
            <w:tcW w:w="2410" w:type="dxa"/>
            <w:vMerge/>
            <w:vAlign w:val="center"/>
            <w:shd w:val="solid" w:color="FAAA5A" tmshd="1677721856, 0, 5942010"/>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tc>
        <w:tc>
          <w:tcPr>
            <w:tcW w:w="3614"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0,5 % pogodbene vrednosti v EUR brez DDV za vsak dan zamude</w:t>
            </w:r>
          </w:p>
        </w:tc>
        <w:tc>
          <w:tcPr>
            <w:tcW w:w="3614"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5 % pogodbene vrednosti v EUR brez DDV</w:t>
            </w:r>
          </w:p>
        </w:tc>
      </w:tr>
    </w:tbl>
    <w:p>
      <w:pPr>
        <w:spacing w:after="0" w:line="240" w:lineRule="auto"/>
        <w:jc w:val="both"/>
        <w:widowControl w:val="0"/>
        <w:rPr>
          <w:rFonts w:ascii="Verdana" w:hAnsi="Verdana"/>
          <w:sz w:val="20"/>
          <w:szCs w:val="28"/>
          <w:lang w:val="sl-si"/>
        </w:rPr>
      </w:pPr>
      <w:r>
        <w:rPr>
          <w:rFonts w:ascii="Verdana" w:hAnsi="Verdana"/>
          <w:sz w:val="20"/>
          <w:szCs w:val="28"/>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DOBAVA IN OBVEZNOSTI POGODBENIH STRANK</w:t>
      </w:r>
    </w:p>
    <w:p>
      <w:pPr>
        <w:numPr>
          <w:ilvl w:val="2"/>
          <w:numId w:val="12"/>
        </w:numPr>
        <w:ind w:left="714" w:hanging="357"/>
        <w:spacing w:before="120" w:after="120" w:line="240" w:lineRule="auto"/>
        <w:jc w:val="both"/>
        <w:widowControl w:val="0"/>
        <w:rPr>
          <w:rFonts w:ascii="Verdana" w:hAnsi="Verdana"/>
          <w:i/>
          <w:sz w:val="20"/>
          <w:szCs w:val="20"/>
          <w:lang w:val="sl-si"/>
        </w:rPr>
      </w:pPr>
      <w:r>
        <w:rPr>
          <w:rFonts w:ascii="Verdana" w:hAnsi="Verdana"/>
          <w:sz w:val="20"/>
          <w:szCs w:val="20"/>
          <w:lang w:val="sl-si"/>
        </w:rPr>
        <w:t>S to pogodbo se izvajalec zaveže, da bo na lokaciji naročnika inštaliral IS, naročniku predal rešitev ter opravljal vse storitve, ki so predmet te pogodbe, naročnik pa mu bo za to plačal pogodbeno ceno navedeno v tej pogodbi.</w:t>
      </w:r>
      <w:r>
        <w:rPr>
          <w:rFonts w:ascii="Verdana" w:hAnsi="Verdana"/>
          <w:i/>
          <w:sz w:val="20"/>
          <w:szCs w:val="20"/>
          <w:lang w:val="sl-si"/>
        </w:rPr>
        <w:t xml:space="preserve"> </w:t>
      </w:r>
      <w:r>
        <w:rPr>
          <w:rFonts w:ascii="Verdana" w:hAnsi="Verdana"/>
          <w:i/>
          <w:sz w:val="20"/>
          <w:szCs w:val="20"/>
          <w:lang w:val="sl-si"/>
        </w:rPr>
      </w:r>
    </w:p>
    <w:p>
      <w:pPr>
        <w:numPr>
          <w:ilvl w:val="2"/>
          <w:numId w:val="12"/>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Dobavo, ki je predmet pogodbe, opravi izvajalec v skladu z navodili naročnika in s specifikacijami, ki so priloga pogodbe.</w:t>
      </w:r>
    </w:p>
    <w:p>
      <w:pPr>
        <w:numPr>
          <w:ilvl w:val="2"/>
          <w:numId w:val="12"/>
        </w:numPr>
        <w:ind w:left="714" w:hanging="357"/>
        <w:spacing w:before="120" w:after="120" w:line="240" w:lineRule="auto"/>
        <w:jc w:val="both"/>
        <w:widowControl w:val="0"/>
        <w:rPr>
          <w:rFonts w:ascii="Verdana" w:hAnsi="Verdana"/>
          <w:sz w:val="20"/>
          <w:szCs w:val="20"/>
          <w:u w:color="auto" w:val="single"/>
          <w:lang w:val="sl-si"/>
        </w:rPr>
      </w:pPr>
      <w:r>
        <w:rPr>
          <w:rFonts w:ascii="Verdana" w:hAnsi="Verdana"/>
          <w:sz w:val="20"/>
          <w:szCs w:val="20"/>
          <w:u w:color="auto" w:val="single"/>
          <w:lang w:val="sl-si"/>
        </w:rPr>
        <w:t>Naročnik se obvezuje, da bo:</w:t>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izpolnil vse predvidene obveznosti v roku in na predviden način;</w:t>
      </w:r>
      <w:r>
        <w:rPr>
          <w:rFonts w:ascii="Verdana" w:hAnsi="Verdana"/>
          <w:i w:val="0"/>
          <w:sz w:val="20"/>
          <w:szCs w:val="20"/>
        </w:rPr>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zagotovil razpoložljivost potrebnih človeških, informacijskih in finančnih virov;</w:t>
      </w:r>
      <w:r>
        <w:rPr>
          <w:rFonts w:ascii="Verdana" w:hAnsi="Verdana"/>
          <w:i w:val="0"/>
          <w:sz w:val="20"/>
          <w:szCs w:val="20"/>
        </w:rPr>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izvajalcu omogočil dostop do celotne dokumentacije, izvorne in izvršne kode, infrastrukture, če je to potrebno za izvedbo prevzetih storitev;</w:t>
      </w:r>
      <w:r>
        <w:rPr>
          <w:rFonts w:ascii="Verdana" w:hAnsi="Verdana"/>
          <w:i w:val="0"/>
          <w:sz w:val="20"/>
          <w:szCs w:val="20"/>
        </w:rPr>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obveščal izvajalca o ugotovljenih napakah in v zvezi s tem izvajalcu postavil primerni rok za odpravo napake;</w:t>
      </w:r>
      <w:r>
        <w:rPr>
          <w:rFonts w:ascii="Verdana" w:hAnsi="Verdana"/>
          <w:i w:val="0"/>
          <w:sz w:val="20"/>
          <w:szCs w:val="20"/>
        </w:rPr>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plačal naročene in izvršene storitve v dogovorjenem roku;</w:t>
      </w:r>
      <w:r>
        <w:rPr>
          <w:rFonts w:ascii="Verdana" w:hAnsi="Verdana"/>
          <w:i w:val="0"/>
          <w:sz w:val="20"/>
          <w:szCs w:val="20"/>
        </w:rPr>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izvajalcu podal navodila v zvezi z uvajanjem novega izvajalca v posel in v naprej opredelil časovno obdobje izvajanja te obveznosti;</w:t>
      </w:r>
      <w:r>
        <w:rPr>
          <w:rFonts w:ascii="Verdana" w:hAnsi="Verdana"/>
          <w:i w:val="0"/>
          <w:sz w:val="20"/>
          <w:szCs w:val="20"/>
        </w:rPr>
      </w:r>
    </w:p>
    <w:p>
      <w:pPr>
        <w:pStyle w:val="para8"/>
        <w:numPr>
          <w:ilvl w:val="0"/>
          <w:numId w:val="27"/>
        </w:numPr>
        <w:ind w:left="720" w:hanging="360"/>
        <w:spacing w:before="0"/>
        <w:rPr>
          <w:rFonts w:ascii="Verdana" w:hAnsi="Verdana"/>
          <w:i w:val="0"/>
          <w:sz w:val="20"/>
          <w:szCs w:val="20"/>
        </w:rPr>
      </w:pPr>
      <w:r>
        <w:rPr>
          <w:rFonts w:ascii="Verdana" w:hAnsi="Verdana"/>
          <w:i w:val="0"/>
          <w:sz w:val="20"/>
          <w:szCs w:val="20"/>
          <w:lang w:val="sl-si"/>
        </w:rPr>
        <w:t>izvajalcu omogočil dostop do celotne dokumentacije in infrastrukture, če je to potrebno za izvedbo prevzetih storitev;</w:t>
      </w:r>
      <w:r>
        <w:rPr>
          <w:rFonts w:ascii="Verdana" w:hAnsi="Verdana"/>
          <w:i w:val="0"/>
          <w:sz w:val="20"/>
          <w:szCs w:val="20"/>
        </w:rPr>
      </w:r>
    </w:p>
    <w:p>
      <w:pPr>
        <w:numPr>
          <w:ilvl w:val="3"/>
          <w:numId w:val="12"/>
        </w:numPr>
        <w:ind w:left="1077" w:hanging="357"/>
        <w:spacing w:after="120" w:line="240" w:lineRule="auto"/>
        <w:jc w:val="both"/>
        <w:widowControl w:val="0"/>
        <w:rPr>
          <w:rFonts w:ascii="Verdana" w:hAnsi="Verdana"/>
          <w:sz w:val="20"/>
          <w:szCs w:val="20"/>
          <w:u w:color="auto" w:val="single"/>
          <w:lang w:val="sl-si"/>
        </w:rPr>
      </w:pPr>
      <w:r>
        <w:rPr>
          <w:rFonts w:ascii="Verdana" w:hAnsi="Verdana"/>
          <w:sz w:val="20"/>
          <w:szCs w:val="20"/>
          <w:lang w:val="sl-si"/>
        </w:rPr>
        <w:t>obveščal izvajalca o ugotovljenih napakah in v zvezi s tem izvajalcu postavil primerni rok za odpravo napake, ki ni daljši od 30 dni, v primerih, ko s to pogodbo ni izrecno določen krajši rok za odpravo napak;</w:t>
      </w:r>
      <w:r>
        <w:rPr>
          <w:rFonts w:ascii="Verdana" w:hAnsi="Verdana"/>
          <w:sz w:val="20"/>
          <w:szCs w:val="20"/>
          <w:u w:color="auto" w:val="single"/>
          <w:lang w:val="sl-si"/>
        </w:rPr>
      </w:r>
    </w:p>
    <w:p>
      <w:pPr>
        <w:numPr>
          <w:ilvl w:val="3"/>
          <w:numId w:val="12"/>
        </w:numPr>
        <w:ind w:left="1077" w:hanging="357"/>
        <w:spacing w:after="120" w:line="240" w:lineRule="auto"/>
        <w:jc w:val="both"/>
        <w:widowControl w:val="0"/>
        <w:rPr>
          <w:rFonts w:ascii="Verdana" w:hAnsi="Verdana"/>
          <w:sz w:val="20"/>
          <w:szCs w:val="20"/>
          <w:u w:color="auto" w:val="single"/>
          <w:lang w:val="sl-si"/>
        </w:rPr>
      </w:pPr>
      <w:r>
        <w:rPr>
          <w:rFonts w:ascii="Verdana" w:hAnsi="Verdana"/>
          <w:sz w:val="20"/>
          <w:szCs w:val="20"/>
          <w:lang w:val="sl-si"/>
        </w:rPr>
        <w:t>plačal naročene in izvršene storitve v dogovorjenem roku;</w:t>
      </w:r>
      <w:r>
        <w:rPr>
          <w:rFonts w:ascii="Verdana" w:hAnsi="Verdana"/>
          <w:sz w:val="20"/>
          <w:szCs w:val="20"/>
          <w:u w:color="auto" w:val="single"/>
          <w:lang w:val="sl-si"/>
        </w:rPr>
      </w:r>
    </w:p>
    <w:p>
      <w:pPr>
        <w:numPr>
          <w:ilvl w:val="3"/>
          <w:numId w:val="12"/>
        </w:numPr>
        <w:ind w:left="1077" w:hanging="357"/>
        <w:spacing w:after="120" w:line="240" w:lineRule="auto"/>
        <w:jc w:val="both"/>
        <w:widowControl w:val="0"/>
        <w:rPr>
          <w:rFonts w:ascii="Verdana" w:hAnsi="Verdana"/>
          <w:sz w:val="20"/>
          <w:szCs w:val="20"/>
          <w:u w:color="auto" w:val="single"/>
          <w:lang w:val="sl-si"/>
        </w:rPr>
      </w:pPr>
      <w:r>
        <w:rPr>
          <w:rFonts w:ascii="Verdana" w:hAnsi="Verdana"/>
          <w:sz w:val="20"/>
          <w:szCs w:val="20"/>
          <w:lang w:val="sl-si"/>
        </w:rPr>
        <w:t>sestavil primopredajni zapisnik ob prenehanju pogodbe.</w:t>
      </w:r>
      <w:r>
        <w:rPr>
          <w:rFonts w:ascii="Verdana" w:hAnsi="Verdana"/>
          <w:sz w:val="20"/>
          <w:szCs w:val="20"/>
          <w:u w:color="auto" w:val="single"/>
          <w:lang w:val="sl-si"/>
        </w:rPr>
      </w:r>
    </w:p>
    <w:p>
      <w:pPr>
        <w:ind w:left="1077"/>
        <w:spacing w:before="120" w:after="120" w:line="240" w:lineRule="auto"/>
        <w:jc w:val="both"/>
        <w:widowControl w:val="0"/>
        <w:rPr>
          <w:rFonts w:ascii="Verdana" w:hAnsi="Verdana"/>
          <w:sz w:val="20"/>
          <w:szCs w:val="20"/>
          <w:u w:color="auto" w:val="single"/>
          <w:lang w:val="sl-si"/>
        </w:rPr>
      </w:pPr>
      <w:r>
        <w:rPr>
          <w:rFonts w:ascii="Verdana" w:hAnsi="Verdana"/>
          <w:sz w:val="20"/>
          <w:szCs w:val="20"/>
          <w:u w:color="auto" w:val="single"/>
          <w:lang w:val="sl-si"/>
        </w:rPr>
      </w:r>
    </w:p>
    <w:p>
      <w:pPr>
        <w:numPr>
          <w:ilvl w:val="2"/>
          <w:numId w:val="12"/>
        </w:numPr>
        <w:ind w:left="714" w:hanging="357"/>
        <w:spacing w:before="120" w:after="120" w:line="240" w:lineRule="auto"/>
        <w:jc w:val="both"/>
        <w:widowControl w:val="0"/>
        <w:rPr>
          <w:rFonts w:ascii="Verdana" w:hAnsi="Verdana"/>
          <w:sz w:val="20"/>
          <w:szCs w:val="20"/>
          <w:u w:color="auto" w:val="single"/>
          <w:lang w:val="sl-si"/>
        </w:rPr>
      </w:pPr>
      <w:r>
        <w:rPr>
          <w:rFonts w:ascii="Verdana" w:hAnsi="Verdana"/>
          <w:sz w:val="20"/>
          <w:szCs w:val="20"/>
          <w:u w:color="auto" w:val="single"/>
          <w:lang w:val="sl-si"/>
        </w:rPr>
        <w:t>Izvajalec se obvezuje, da bo:</w:t>
      </w:r>
    </w:p>
    <w:p>
      <w:pPr>
        <w:numPr>
          <w:ilvl w:val="0"/>
          <w:numId w:val="15"/>
        </w:numPr>
        <w:ind w:left="720" w:hanging="360"/>
        <w:spacing w:after="120" w:line="240" w:lineRule="auto"/>
        <w:jc w:val="both"/>
        <w:widowControl w:val="0"/>
        <w:rPr>
          <w:rFonts w:ascii="Verdana" w:hAnsi="Verdana"/>
          <w:sz w:val="20"/>
          <w:szCs w:val="20"/>
        </w:rPr>
      </w:pPr>
      <w:r>
        <w:rPr>
          <w:rFonts w:ascii="Verdana" w:hAnsi="Verdana"/>
          <w:sz w:val="20"/>
          <w:szCs w:val="20"/>
          <w:lang w:val="sl-si"/>
        </w:rPr>
        <w:t>svoje naloge opravil strokovno in s skrbnostjo dobrega strokovnjaka;</w:t>
      </w:r>
      <w:r>
        <w:rPr>
          <w:rFonts w:ascii="Verdana" w:hAnsi="Verdana"/>
          <w:sz w:val="20"/>
          <w:szCs w:val="20"/>
        </w:rPr>
      </w:r>
    </w:p>
    <w:p>
      <w:pPr>
        <w:numPr>
          <w:ilvl w:val="0"/>
          <w:numId w:val="15"/>
        </w:numPr>
        <w:ind w:left="720" w:hanging="360"/>
        <w:spacing w:after="120" w:line="240" w:lineRule="auto"/>
        <w:jc w:val="both"/>
        <w:widowControl w:val="0"/>
        <w:rPr>
          <w:rFonts w:ascii="Verdana" w:hAnsi="Verdana"/>
          <w:sz w:val="20"/>
          <w:szCs w:val="20"/>
        </w:rPr>
      </w:pPr>
      <w:r>
        <w:rPr>
          <w:rFonts w:ascii="Verdana" w:hAnsi="Verdana"/>
          <w:sz w:val="20"/>
          <w:szCs w:val="20"/>
          <w:lang w:val="sl-si"/>
        </w:rPr>
        <w:t>izvedel svoje pogodbene obveznosti po pravilih stroke, v skladu z navodili naročnika in v dogovorjenem roku oziroma v skladu s svojo strokovno presojo, če načina izvedbe obveznosti ne določi naročnik ali če iz vsebine in namena naročila ne izhaja kaj drugega;</w:t>
      </w:r>
      <w:r>
        <w:rPr>
          <w:rFonts w:ascii="Verdana" w:hAnsi="Verdana"/>
          <w:sz w:val="20"/>
          <w:szCs w:val="20"/>
        </w:rPr>
      </w:r>
    </w:p>
    <w:p>
      <w:pPr>
        <w:numPr>
          <w:ilvl w:val="0"/>
          <w:numId w:val="15"/>
        </w:numPr>
        <w:ind w:left="720" w:hanging="360"/>
        <w:spacing w:after="120" w:line="240" w:lineRule="auto"/>
        <w:jc w:val="both"/>
        <w:widowControl w:val="0"/>
        <w:rPr>
          <w:rFonts w:ascii="Verdana" w:hAnsi="Verdana"/>
          <w:sz w:val="20"/>
          <w:szCs w:val="20"/>
        </w:rPr>
      </w:pPr>
      <w:r>
        <w:rPr>
          <w:rFonts w:ascii="Verdana" w:hAnsi="Verdana"/>
          <w:sz w:val="20"/>
          <w:szCs w:val="20"/>
          <w:lang w:val="sl-si"/>
        </w:rPr>
        <w:t>takoj pisno (elektronsko) opozoril naročnika na okoliščine, ki bi lahko otežile ali onemogočile kvalitetno in pravilno izvedbo storitev;</w:t>
      </w:r>
      <w:r>
        <w:rPr>
          <w:rFonts w:ascii="Verdana" w:hAnsi="Verdana"/>
          <w:sz w:val="20"/>
          <w:szCs w:val="20"/>
        </w:rPr>
      </w:r>
    </w:p>
    <w:p>
      <w:pPr>
        <w:numPr>
          <w:ilvl w:val="0"/>
          <w:numId w:val="15"/>
        </w:numPr>
        <w:ind w:left="720" w:hanging="360"/>
        <w:spacing w:after="120" w:line="240" w:lineRule="auto"/>
        <w:jc w:val="both"/>
        <w:widowControl w:val="0"/>
        <w:rPr>
          <w:rFonts w:ascii="Verdana" w:hAnsi="Verdana"/>
          <w:sz w:val="20"/>
          <w:szCs w:val="20"/>
        </w:rPr>
      </w:pPr>
      <w:r>
        <w:rPr>
          <w:rFonts w:ascii="Verdana" w:hAnsi="Verdana"/>
          <w:sz w:val="20"/>
          <w:szCs w:val="20"/>
          <w:lang w:val="sl-si"/>
        </w:rPr>
        <w:t>odpravil ugotovljene napake v skladu s pozivom naročnika oziroma  v določenem roku, ki ni daljši od 30 dni, v primerih, ko s to pogodbo ni določen krajši rok za odpravo napak;</w:t>
      </w:r>
      <w:r>
        <w:rPr>
          <w:rFonts w:ascii="Verdana" w:hAnsi="Verdana"/>
          <w:sz w:val="20"/>
          <w:szCs w:val="20"/>
        </w:rPr>
      </w:r>
    </w:p>
    <w:p>
      <w:pPr>
        <w:numPr>
          <w:ilvl w:val="0"/>
          <w:numId w:val="15"/>
        </w:numPr>
        <w:ind w:left="720" w:hanging="360"/>
        <w:spacing w:after="120" w:line="240" w:lineRule="auto"/>
        <w:jc w:val="both"/>
        <w:widowControl w:val="0"/>
        <w:rPr>
          <w:rFonts w:ascii="Verdana" w:hAnsi="Verdana"/>
          <w:sz w:val="20"/>
          <w:szCs w:val="20"/>
        </w:rPr>
      </w:pPr>
      <w:r>
        <w:rPr>
          <w:rFonts w:ascii="Verdana" w:hAnsi="Verdana"/>
          <w:sz w:val="20"/>
          <w:szCs w:val="20"/>
          <w:lang w:val="sl-si"/>
        </w:rPr>
        <w:t>pri izvajanju pogodbenih obveznosti uporabljal napredne tehnologije in metode glede na opremljenost naročnika;</w:t>
      </w:r>
      <w:r>
        <w:rPr>
          <w:rFonts w:ascii="Verdana" w:hAnsi="Verdana"/>
          <w:sz w:val="20"/>
          <w:szCs w:val="20"/>
        </w:rPr>
      </w:r>
    </w:p>
    <w:p>
      <w:pPr>
        <w:numPr>
          <w:ilvl w:val="0"/>
          <w:numId w:val="15"/>
        </w:numPr>
        <w:ind w:left="720" w:hanging="360"/>
        <w:spacing w:after="120" w:line="240" w:lineRule="auto"/>
        <w:jc w:val="both"/>
        <w:widowControl w:val="0"/>
      </w:pPr>
      <w:r>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p>
    <w:p>
      <w:pPr>
        <w:pStyle w:val="para8"/>
        <w:numPr>
          <w:ilvl w:val="0"/>
          <w:numId w:val="15"/>
        </w:numPr>
        <w:ind w:left="720" w:hanging="360"/>
        <w:spacing w:before="0"/>
        <w:jc w:val="both"/>
      </w:pPr>
      <w:r>
        <w:rPr>
          <w:rFonts w:ascii="Verdana" w:hAnsi="Verdana"/>
          <w:i w:val="0"/>
          <w:sz w:val="20"/>
          <w:szCs w:val="20"/>
          <w:lang w:val="sl-si"/>
        </w:rPr>
        <w:t>z naročnikom sodeloval ter na njegovo zahtevo nemudoma posredoval vso dokumentacijo (vsebinsko-projektno, tehnično, …) in pojasnila;</w:t>
      </w:r>
      <w:r/>
    </w:p>
    <w:p>
      <w:pPr>
        <w:pStyle w:val="para8"/>
        <w:numPr>
          <w:ilvl w:val="0"/>
          <w:numId w:val="15"/>
        </w:numPr>
        <w:ind w:left="720" w:hanging="360"/>
        <w:spacing w:before="0"/>
        <w:jc w:val="both"/>
      </w:pPr>
      <w:r>
        <w:rPr>
          <w:rFonts w:ascii="Verdana" w:hAnsi="Verdana"/>
          <w:i w:val="0"/>
          <w:sz w:val="20"/>
          <w:szCs w:val="20"/>
          <w:lang w:val="sl-si"/>
        </w:rPr>
        <w:t>v skladu z navodili naročnika in v naprej opredeljenem določenem časovnem obdobju pred prenehanjem pogodbe uvedel novega izvajalca v posel v skladu s tarifami in cenami iz te pogodbe;</w:t>
      </w:r>
      <w:r/>
    </w:p>
    <w:p>
      <w:pPr>
        <w:pStyle w:val="para8"/>
        <w:numPr>
          <w:ilvl w:val="0"/>
          <w:numId w:val="15"/>
        </w:numPr>
        <w:ind w:left="720" w:hanging="360"/>
        <w:spacing w:before="0"/>
        <w:jc w:val="both"/>
      </w:pPr>
      <w:r>
        <w:rPr>
          <w:rFonts w:ascii="Verdana" w:hAnsi="Verdana"/>
          <w:i w:val="0"/>
          <w:sz w:val="20"/>
          <w:szCs w:val="20"/>
          <w:lang w:val="sl-si"/>
        </w:rPr>
        <w:t xml:space="preserve">ob predčasni odpovedi ali rednem prenehanju pogodbe naročniku predal vse produkte, podatke (popolna tehnična in uporabniška dokumentacija, vsi dostopi in administrativne pravice itd.) in dokumentacijo, ki jo zajema ta pogodba; </w:t>
      </w:r>
      <w:r/>
    </w:p>
    <w:p>
      <w:pPr>
        <w:pStyle w:val="para8"/>
        <w:numPr>
          <w:ilvl w:val="0"/>
          <w:numId w:val="15"/>
        </w:numPr>
        <w:ind w:left="720" w:hanging="360"/>
        <w:spacing w:before="0"/>
        <w:jc w:val="both"/>
      </w:pPr>
      <w:r>
        <w:rPr>
          <w:rFonts w:ascii="Verdana" w:hAnsi="Verdana"/>
          <w:i w:val="0"/>
          <w:sz w:val="20"/>
          <w:szCs w:val="20"/>
          <w:lang w:val="sl-si"/>
        </w:rPr>
        <w:t>zagotovil varovanje zaupnih in osebnih podatkov;</w:t>
      </w:r>
      <w:r/>
    </w:p>
    <w:p>
      <w:pPr>
        <w:pStyle w:val="para8"/>
        <w:numPr>
          <w:ilvl w:val="0"/>
          <w:numId w:val="15"/>
        </w:numPr>
        <w:ind w:left="720" w:hanging="360"/>
        <w:spacing w:before="0"/>
        <w:jc w:val="both"/>
      </w:pPr>
      <w:r>
        <w:rPr>
          <w:rFonts w:ascii="Verdana" w:hAnsi="Verdana"/>
          <w:i w:val="0"/>
          <w:sz w:val="20"/>
          <w:szCs w:val="20"/>
          <w:lang w:val="sl-si"/>
        </w:rPr>
        <w:t>omogočal ustrezen nadzor naročniku;</w:t>
      </w:r>
      <w:r/>
    </w:p>
    <w:p>
      <w:pPr>
        <w:pStyle w:val="para8"/>
        <w:numPr>
          <w:ilvl w:val="0"/>
          <w:numId w:val="15"/>
        </w:numPr>
        <w:ind w:left="720" w:hanging="360"/>
        <w:spacing w:before="0"/>
        <w:rPr>
          <w:rFonts w:ascii="Verdana" w:hAnsi="Verdana"/>
          <w:i w:val="0"/>
          <w:sz w:val="20"/>
          <w:szCs w:val="20"/>
          <w:lang w:val="sl-si"/>
        </w:rPr>
      </w:pPr>
      <w:r>
        <w:rPr>
          <w:rFonts w:ascii="Verdana" w:hAnsi="Verdana"/>
          <w:i w:val="0"/>
          <w:sz w:val="20"/>
          <w:szCs w:val="20"/>
          <w:lang w:val="sl-si"/>
        </w:rPr>
        <w:t>izpolnil vse predvidene obveznosti v roku in na predviden način;</w:t>
      </w:r>
    </w:p>
    <w:p>
      <w:pPr>
        <w:pStyle w:val="para8"/>
        <w:numPr>
          <w:ilvl w:val="0"/>
          <w:numId w:val="15"/>
        </w:numPr>
        <w:ind w:left="720" w:hanging="360"/>
        <w:spacing w:before="0"/>
        <w:rPr>
          <w:rFonts w:ascii="Verdana" w:hAnsi="Verdana"/>
          <w:i w:val="0"/>
          <w:sz w:val="20"/>
          <w:szCs w:val="20"/>
          <w:lang w:val="sl-si"/>
        </w:rPr>
      </w:pPr>
      <w:r>
        <w:rPr>
          <w:rFonts w:ascii="Verdana" w:hAnsi="Verdana"/>
          <w:i w:val="0"/>
          <w:sz w:val="20"/>
          <w:szCs w:val="20"/>
          <w:lang w:val="sl-si"/>
        </w:rPr>
        <w:t>zagotovil razpoložljivost potrebnih človeških, informacijskih in finančnih virov;</w:t>
      </w:r>
    </w:p>
    <w:p>
      <w:pPr>
        <w:pStyle w:val="para8"/>
        <w:numPr>
          <w:ilvl w:val="0"/>
          <w:numId w:val="15"/>
        </w:numPr>
        <w:ind w:left="720" w:hanging="360"/>
        <w:spacing w:before="0"/>
        <w:rPr>
          <w:rFonts w:ascii="Verdana" w:hAnsi="Verdana"/>
          <w:i w:val="0"/>
          <w:sz w:val="20"/>
          <w:szCs w:val="20"/>
          <w:lang w:val="sl-si"/>
        </w:rPr>
      </w:pPr>
      <w:r>
        <w:rPr>
          <w:rFonts w:ascii="Verdana" w:hAnsi="Verdana"/>
          <w:i w:val="0"/>
          <w:sz w:val="20"/>
          <w:szCs w:val="20"/>
          <w:lang w:val="sl-si"/>
        </w:rPr>
        <w:t>izvedel svoje pogodbene obveznosti po pravilih stroke, v skladu z navodili naročnika in v dogovorjenem roku oziroma v skladu s svojo strokovno presojo, če načina izvedbe obveznosti ne določi naročnik ali če iz vsebine in namena naročila ne izhaja kaj drugega;</w:t>
      </w:r>
    </w:p>
    <w:p>
      <w:pPr>
        <w:pStyle w:val="para8"/>
        <w:numPr>
          <w:ilvl w:val="0"/>
          <w:numId w:val="15"/>
        </w:numPr>
        <w:ind w:left="720" w:hanging="360"/>
        <w:spacing w:before="0"/>
        <w:rPr>
          <w:rFonts w:ascii="Verdana" w:hAnsi="Verdana"/>
          <w:i w:val="0"/>
          <w:sz w:val="20"/>
          <w:szCs w:val="20"/>
          <w:lang w:val="sl-si"/>
        </w:rPr>
      </w:pPr>
      <w:r>
        <w:rPr>
          <w:rFonts w:ascii="Verdana" w:hAnsi="Verdana"/>
          <w:i w:val="0"/>
          <w:sz w:val="20"/>
          <w:szCs w:val="20"/>
          <w:lang w:val="sl-si"/>
        </w:rPr>
        <w:t>takoj pisno opozoril naročnika na okoliščine, ki bi lahko otežile ali onemogočile kvalitetno in pravilno izvedbo storitev;</w:t>
      </w:r>
    </w:p>
    <w:p>
      <w:pPr>
        <w:pStyle w:val="para8"/>
        <w:numPr>
          <w:ilvl w:val="0"/>
          <w:numId w:val="15"/>
        </w:numPr>
        <w:ind w:left="720" w:hanging="360"/>
        <w:spacing w:before="0"/>
        <w:rPr>
          <w:rFonts w:ascii="Verdana" w:hAnsi="Verdana"/>
          <w:i w:val="0"/>
          <w:sz w:val="20"/>
          <w:szCs w:val="20"/>
          <w:lang w:val="sl-si"/>
        </w:rPr>
      </w:pPr>
      <w:r>
        <w:rPr>
          <w:rFonts w:ascii="Verdana" w:hAnsi="Verdana"/>
          <w:i w:val="0"/>
          <w:sz w:val="20"/>
          <w:szCs w:val="20"/>
          <w:lang w:val="sl-si"/>
        </w:rPr>
        <w:t>odpravil ugotovljene napake v skladu s  SLA pogodbo;</w:t>
      </w:r>
    </w:p>
    <w:p>
      <w:pPr>
        <w:pStyle w:val="para8"/>
        <w:numPr>
          <w:ilvl w:val="0"/>
          <w:numId w:val="15"/>
        </w:numPr>
        <w:ind w:left="720" w:hanging="360"/>
        <w:spacing w:before="0"/>
        <w:rPr>
          <w:rFonts w:ascii="Verdana" w:hAnsi="Verdana"/>
          <w:i w:val="0"/>
          <w:sz w:val="20"/>
          <w:szCs w:val="20"/>
          <w:lang w:val="sl-si"/>
        </w:rPr>
      </w:pPr>
      <w:r>
        <w:rPr>
          <w:rFonts w:ascii="Verdana" w:hAnsi="Verdana"/>
          <w:i w:val="0"/>
          <w:sz w:val="20"/>
          <w:szCs w:val="20"/>
          <w:lang w:val="sl-si"/>
        </w:rPr>
        <w:t>pri izvajanju pogodbenih obveznosti uporabljal napredne tehnologije in metode glede na opremljenost naročnika;</w:t>
      </w:r>
    </w:p>
    <w:p>
      <w:pPr>
        <w:numPr>
          <w:ilvl w:val="2"/>
          <w:numId w:val="12"/>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Naročnik o prevzemu dokumentacije iz devete alineje 4. odstavka tega člena sestavi zapisnik, ki ga podpišeta obe pogodbeni stranki.</w:t>
      </w:r>
    </w:p>
    <w:p>
      <w:pPr>
        <w:numPr>
          <w:ilvl w:val="2"/>
          <w:numId w:val="12"/>
        </w:numPr>
        <w:ind w:left="714" w:hanging="357"/>
        <w:spacing w:before="120" w:after="120" w:line="240" w:lineRule="auto"/>
        <w:jc w:val="both"/>
        <w:widowControl w:val="0"/>
        <w:rPr>
          <w:rFonts w:ascii="Verdana" w:hAnsi="Verdana"/>
          <w:sz w:val="20"/>
          <w:szCs w:val="20"/>
          <w:u w:color="auto" w:val="single"/>
          <w:lang w:val="sl-si"/>
        </w:rPr>
      </w:pPr>
      <w:r>
        <w:rPr>
          <w:rFonts w:ascii="Verdana" w:hAnsi="Verdana"/>
          <w:sz w:val="20"/>
          <w:szCs w:val="20"/>
          <w:lang w:val="sl-si"/>
        </w:rPr>
        <w:t>Neutemeljena zavrnitev naročila ali odstopanje od naročenega načina dobave pomeni kršitev pogodbene obveznosti, zaradi katere lahko naročnik, razdre pogodbo, uveljavi finančno zavarovanja za dobro izvedbo pogodbenih obveznosti, v primeru škode pa tudi zahteva odškodnino.</w:t>
      </w:r>
      <w:r>
        <w:rPr>
          <w:rFonts w:ascii="Verdana" w:hAnsi="Verdana"/>
          <w:sz w:val="20"/>
          <w:szCs w:val="20"/>
          <w:u w:color="auto" w:val="single"/>
          <w:lang w:val="sl-si"/>
        </w:rPr>
      </w:r>
    </w:p>
    <w:p>
      <w:pPr>
        <w:numPr>
          <w:ilvl w:val="2"/>
          <w:numId w:val="12"/>
        </w:numPr>
        <w:ind w:left="714" w:hanging="357"/>
        <w:spacing w:before="120" w:after="120" w:line="240" w:lineRule="auto"/>
        <w:jc w:val="both"/>
        <w:widowControl w:val="0"/>
        <w:rPr>
          <w:rFonts w:ascii="Verdana" w:hAnsi="Verdana"/>
          <w:sz w:val="20"/>
          <w:szCs w:val="20"/>
          <w:u w:color="auto" w:val="single"/>
          <w:lang w:val="sl-si"/>
        </w:rPr>
      </w:pPr>
      <w:r>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r>
        <w:rPr>
          <w:rFonts w:ascii="Verdana" w:hAnsi="Verdana"/>
          <w:sz w:val="20"/>
          <w:szCs w:val="20"/>
          <w:u w:color="auto" w:val="single"/>
          <w:lang w:val="sl-si"/>
        </w:rPr>
      </w:r>
    </w:p>
    <w:p>
      <w:pPr>
        <w:ind w:left="714"/>
        <w:spacing w:before="120" w:after="120" w:line="240" w:lineRule="auto"/>
        <w:jc w:val="both"/>
        <w:widowControl w:val="0"/>
        <w:rPr>
          <w:rFonts w:ascii="Verdana" w:hAnsi="Verdana"/>
          <w:sz w:val="20"/>
          <w:szCs w:val="20"/>
          <w:u w:color="auto" w:val="single"/>
          <w:lang w:val="sl-si"/>
        </w:rPr>
      </w:pPr>
      <w:r>
        <w:rPr>
          <w:rFonts w:ascii="Verdana" w:hAnsi="Verdana"/>
          <w:sz w:val="20"/>
          <w:szCs w:val="20"/>
          <w:u w:color="auto" w:val="single"/>
          <w:lang w:val="sl-si"/>
        </w:rPr>
      </w:r>
    </w:p>
    <w:p>
      <w:pPr>
        <w:ind w:left="714"/>
        <w:spacing w:before="120" w:after="120" w:line="240" w:lineRule="auto"/>
        <w:jc w:val="both"/>
        <w:widowControl w:val="0"/>
        <w:rPr>
          <w:rFonts w:ascii="Verdana" w:hAnsi="Verdana"/>
          <w:sz w:val="20"/>
          <w:szCs w:val="20"/>
          <w:u w:color="auto" w:val="single"/>
          <w:lang w:val="sl-si"/>
        </w:rPr>
      </w:pPr>
      <w:r>
        <w:rPr>
          <w:rFonts w:ascii="Verdana" w:hAnsi="Verdana"/>
          <w:sz w:val="20"/>
          <w:szCs w:val="20"/>
          <w:u w:color="auto" w:val="single"/>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PREVZEM</w:t>
      </w:r>
    </w:p>
    <w:p>
      <w:pPr>
        <w:numPr>
          <w:ilvl w:val="2"/>
          <w:numId w:val="1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Prevzem IS v produkcijo ter ostale fazne storitve in izdelke, določeni v pogodbi, ter prevzem dokumentacije, se opravi s prevzemnim zapisnikom, ki ga podpišeta pooblaščenca obeh pogodbenih strank.</w:t>
      </w:r>
    </w:p>
    <w:p>
      <w:pPr>
        <w:numPr>
          <w:ilvl w:val="2"/>
          <w:numId w:val="1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 dnem podpisa prevzemnega zapisnika, je prevzem določene faze projekta opravljen, razen pri naročnikovi zamudi, ko se šteje, da je prevzem opravljen z dnem zamude, če storitev ali dobava ni bila reklamirana v predvidenem roku po prejemu obvestila in potrebne dokumentacije. Na prevzemnem zapisniku morajo biti razvidne: številka pogodbe ter predmet prevzema skupaj z dokumentacijo. Rok za reklamacijo je 8 dni po prejemu obvestila, potrebne dokumentacije in izvedenih testih, če so ti potrebni.</w:t>
      </w:r>
    </w:p>
    <w:p>
      <w:pPr>
        <w:numPr>
          <w:ilvl w:val="2"/>
          <w:numId w:val="1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Naročnik je dolžan vse napake in pomanjkljivosti ob namestitvi, ki jih bo odkril, javiti izvajalcu po elektronski pošti. Za napake in pomanjkljivosti nadgradenj po namestitvi in prevzemu IS pa znotraj vzpostavljenega sistema za pomoč uporabnikom. Izvajalec je dolžan napake in pomanjkljivosti odpraviti takoj, če to ni možno, pa v primernem času.</w:t>
      </w:r>
    </w:p>
    <w:p>
      <w:pPr>
        <w:numPr>
          <w:ilvl w:val="2"/>
          <w:numId w:val="1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V kolikor se bo ugotovilo, da rešitev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priložen. Zavrnitev bo označena na prevzemnem zapisniku.</w:t>
      </w:r>
    </w:p>
    <w:p>
      <w:pPr>
        <w:numPr>
          <w:ilvl w:val="2"/>
          <w:numId w:val="1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Če se izkaže, da dobava in implementacija ni možna zaradi objektivnega razloga, ki nastopi po podpisu pogodbe, lahko naročnik pogodbo brez kakršnihkoli obveznosti razdre.</w:t>
      </w:r>
    </w:p>
    <w:p>
      <w:pPr>
        <w:numPr>
          <w:ilvl w:val="2"/>
          <w:numId w:val="1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 xml:space="preserve">Naročnik, ki v roku ni pripravljen prevzeti pravilno opravljene storitve ali pa pravočasno ne odgovori na obvestilo izvajalca o pripravljenem prevzemu, preide v zamudo. </w:t>
      </w:r>
    </w:p>
    <w:p>
      <w:pPr>
        <w:ind w:left="714"/>
        <w:spacing w:before="120"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ZAMUDA IN POGODBENA KAZEN</w:t>
      </w:r>
    </w:p>
    <w:p>
      <w:pPr>
        <w:numPr>
          <w:ilvl w:val="2"/>
          <w:numId w:val="2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V primeru, da izvajalec zamuja z izvedbo storitev iz razlogov, ki niso na strani naročnika ter ne gre za opravičeno zamudo, je dolžan plačati pogodbeno kazen.</w:t>
      </w:r>
    </w:p>
    <w:p>
      <w:pPr>
        <w:numPr>
          <w:ilvl w:val="2"/>
          <w:numId w:val="2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Pogodbena kazen se obračuna pri plačilu pogodbene cene.</w:t>
      </w:r>
    </w:p>
    <w:p>
      <w:pPr>
        <w:numPr>
          <w:ilvl w:val="2"/>
          <w:numId w:val="2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pPr>
        <w:ind w:left="714"/>
        <w:spacing w:before="120"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JAMSTVA IN GARANCIJSKE OBVEZNOSTI IZVAJALCA</w:t>
      </w:r>
    </w:p>
    <w:p>
      <w:pPr>
        <w:numPr>
          <w:ilvl w:val="2"/>
          <w:numId w:val="13"/>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naročniku jamči, da:</w:t>
      </w:r>
    </w:p>
    <w:p>
      <w:pPr>
        <w:numPr>
          <w:ilvl w:val="3"/>
          <w:numId w:val="13"/>
        </w:numPr>
        <w:ind w:left="1072" w:hanging="358"/>
        <w:spacing w:before="120" w:after="120" w:line="240" w:lineRule="auto"/>
        <w:jc w:val="both"/>
        <w:widowControl w:val="0"/>
        <w:rPr>
          <w:rFonts w:ascii="Verdana" w:hAnsi="Verdana"/>
          <w:sz w:val="20"/>
          <w:szCs w:val="20"/>
          <w:lang w:val="sl-si"/>
        </w:rPr>
      </w:pPr>
      <w:r>
        <w:rPr>
          <w:rFonts w:ascii="Verdana" w:hAnsi="Verdana"/>
          <w:sz w:val="20"/>
          <w:szCs w:val="20"/>
          <w:lang w:val="sl-si"/>
        </w:rPr>
        <w:t>bodo storitve opravljene kakovostno, s kvalificiranimi kadri, v skladu z veljavnimi predpisi in standardi ter v skladu s specificiranimi zahtevami naročnika;</w:t>
      </w:r>
    </w:p>
    <w:p>
      <w:pPr>
        <w:numPr>
          <w:ilvl w:val="3"/>
          <w:numId w:val="13"/>
        </w:numPr>
        <w:ind w:left="1072" w:hanging="358"/>
        <w:spacing w:before="120" w:after="120" w:line="240" w:lineRule="auto"/>
        <w:jc w:val="both"/>
        <w:widowControl w:val="0"/>
        <w:rPr>
          <w:rFonts w:ascii="Verdana" w:hAnsi="Verdana"/>
          <w:sz w:val="20"/>
          <w:szCs w:val="20"/>
          <w:lang w:val="sl-si"/>
        </w:rPr>
      </w:pPr>
      <w:r>
        <w:rPr>
          <w:rFonts w:ascii="Verdana" w:hAnsi="Verdana"/>
          <w:sz w:val="20"/>
          <w:szCs w:val="20"/>
          <w:lang w:val="sl-si"/>
        </w:rPr>
        <w:t>bo kakovost opravljenih storitev preverjal in stalno skrbel za odpravo pomanjkljivosti, za katere bo izvedel na podlagi preverjanj ali informacij naročnika.</w:t>
      </w:r>
    </w:p>
    <w:p>
      <w:pPr>
        <w:numPr>
          <w:ilvl w:val="2"/>
          <w:numId w:val="13"/>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Za informacijski sistem in njegove nadgradnje velja 12-mesečni garancijski rok, ki teče od prevzema posamezne nadgradnje.</w:t>
      </w:r>
    </w:p>
    <w:p>
      <w:pPr>
        <w:numPr>
          <w:ilvl w:val="2"/>
          <w:numId w:val="13"/>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pPr>
        <w:numPr>
          <w:ilvl w:val="2"/>
          <w:numId w:val="13"/>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Jamčevalni rok po tej pogodbi se podaljša za čas, ki ga izvajalec potrebuje za odpravo javljene mu bistvene napake.</w:t>
      </w:r>
    </w:p>
    <w:p>
      <w:pPr>
        <w:numPr>
          <w:ilvl w:val="2"/>
          <w:numId w:val="13"/>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VIŠJA SILA</w:t>
      </w:r>
    </w:p>
    <w:p>
      <w:pPr>
        <w:numPr>
          <w:ilvl w:val="2"/>
          <w:numId w:val="2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pPr>
        <w:numPr>
          <w:ilvl w:val="2"/>
          <w:numId w:val="2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je dolžan pisno obvestiti naročnika o nastanku višje sile v dveh delovnih dneh po nastanku le-te.</w:t>
      </w:r>
    </w:p>
    <w:p>
      <w:pPr>
        <w:numPr>
          <w:ilvl w:val="2"/>
          <w:numId w:val="26"/>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Nobena od strank ni odgovorna za neizpolnitev katerekoli izmed svojih obveznosti iz razlogov, ki so izven njenega nadzora.</w:t>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 xml:space="preserve"> 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FINANČNO ZAVAROVANJE ZA DOBRO IZVEDBO POGODBENIH OBVEZNOSTI</w:t>
      </w:r>
    </w:p>
    <w:p>
      <w:pPr>
        <w:numPr>
          <w:ilvl w:val="2"/>
          <w:numId w:val="5"/>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Style w:val="TableNormal"/>
        <w:name w:val="Table13"/>
        <w:tabOrder w:val="0"/>
        <w:jc w:val="right"/>
        <w:tblInd w:w="0" w:type="dxa"/>
        <w:tblW w:w="9010" w:type="dxa"/>
        <w:tblLook w:val="04A0" w:firstRow="1" w:lastRow="0" w:firstColumn="1" w:lastColumn="0" w:noHBand="0" w:noVBand="1"/>
      </w:tblPr>
      <w:tblGrid>
        <w:gridCol w:w="4830"/>
        <w:gridCol w:w="2123"/>
        <w:gridCol w:w="2057"/>
      </w:tblGrid>
      <w:tr>
        <w:trPr>
          <w:tblHeader w:val="0"/>
          <w:cantSplit w:val="0"/>
          <w:trHeight w:val="20" w:hRule="atLeast"/>
        </w:trPr>
        <w:tc>
          <w:tcPr>
            <w:tcW w:w="4830"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Vrsta zavarovanja</w:t>
            </w:r>
          </w:p>
        </w:tc>
        <w:tc>
          <w:tcPr>
            <w:tcW w:w="2123"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Vrednost in valuta</w:t>
            </w:r>
          </w:p>
        </w:tc>
        <w:tc>
          <w:tcPr>
            <w:tcW w:w="2057"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Veljavnost</w:t>
            </w:r>
          </w:p>
          <w:p>
            <w:pPr>
              <w:spacing w:after="0" w:line="240" w:lineRule="auto"/>
              <w:jc w:val="center"/>
              <w:widowControl w:val="0"/>
              <w:rPr>
                <w:rFonts w:ascii="Verdana" w:hAnsi="Verdana"/>
                <w:sz w:val="20"/>
                <w:szCs w:val="20"/>
                <w:lang w:val="sl-si"/>
              </w:rPr>
            </w:pPr>
            <w:r>
              <w:rPr>
                <w:rFonts w:ascii="Verdana" w:hAnsi="Verdana"/>
                <w:sz w:val="20"/>
                <w:szCs w:val="20"/>
                <w:lang w:val="sl-si"/>
              </w:rPr>
              <w:t>(od / do)</w:t>
            </w:r>
          </w:p>
        </w:tc>
      </w:tr>
      <w:tr>
        <w:trPr>
          <w:tblHeader w:val="0"/>
          <w:cantSplit w:val="0"/>
          <w:trHeight w:val="20" w:hRule="atLeast"/>
        </w:trPr>
        <w:tc>
          <w:tcPr>
            <w:tcW w:w="4830"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pPr>
              <w:spacing w:after="0" w:line="240" w:lineRule="auto"/>
              <w:jc w:val="both"/>
              <w:widowControl w:val="0"/>
              <w:rPr>
                <w:rFonts w:ascii="Verdana" w:hAnsi="Verdana"/>
                <w:sz w:val="20"/>
                <w:szCs w:val="20"/>
                <w:lang w:val="sl-si"/>
              </w:rPr>
            </w:pPr>
            <w:r>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3"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EUR</w:t>
            </w:r>
          </w:p>
          <w:p>
            <w:pPr>
              <w:spacing w:after="0" w:line="240" w:lineRule="auto"/>
              <w:jc w:val="center"/>
              <w:widowControl w:val="0"/>
              <w:rPr>
                <w:rFonts w:ascii="Verdana" w:hAnsi="Verdana"/>
                <w:i/>
                <w:sz w:val="14"/>
                <w:szCs w:val="14"/>
                <w:lang w:val="sl-si"/>
              </w:rPr>
            </w:pPr>
            <w:r>
              <w:rPr>
                <w:rFonts w:ascii="Verdana" w:hAnsi="Verdana"/>
                <w:i/>
                <w:sz w:val="14"/>
                <w:szCs w:val="14"/>
                <w:lang w:val="sl-si"/>
              </w:rPr>
              <w:t>(10% skupne pogodbene vrednosti z DDV)</w:t>
            </w:r>
          </w:p>
        </w:tc>
        <w:tc>
          <w:tcPr>
            <w:tcW w:w="205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od začetka veljavnosti pogodbe do 30 dni po prenehanju veljavnosti te pogodbe</w:t>
            </w:r>
          </w:p>
        </w:tc>
      </w:tr>
    </w:tbl>
    <w:p>
      <w:pPr>
        <w:pStyle w:val="para36"/>
        <w:numPr>
          <w:ilvl w:val="0"/>
          <w:numId w:val="29"/>
        </w:numPr>
        <w:ind w:left="720" w:hanging="360"/>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najpozneje v desetih dneh od sklenitve pogodbe, kot pogoj za veljavnost pogodbe, izročiti naročniku prvo zavarovanje za dobro izvedbo pogodbenih obveznosti. V nasprotnem primeru lahko naročnik, po poteku tega roka, finančnega zavarovanja ne sprejme in unovči zavarovanje za resnost ponudbe ter s tem razdre sklenjeno pogodbo. </w:t>
      </w:r>
    </w:p>
    <w:p>
      <w:pPr>
        <w:pStyle w:val="para36"/>
        <w:spacing w:before="120" w:after="120" w:line="240" w:lineRule="auto"/>
        <w:jc w:val="both"/>
        <w:rPr>
          <w:rFonts w:ascii="Verdana" w:hAnsi="Verdana"/>
          <w:sz w:val="20"/>
          <w:szCs w:val="20"/>
          <w:lang w:val="sl-si"/>
        </w:rPr>
      </w:pPr>
      <w:r>
        <w:rPr>
          <w:rFonts w:ascii="Verdana" w:hAnsi="Verdana"/>
          <w:sz w:val="20"/>
          <w:szCs w:val="20"/>
          <w:lang w:val="sl-si"/>
        </w:rPr>
        <w:t>Naročnik lahko finančno zavarovanje uveljavi po predhodnem opominu.</w:t>
      </w:r>
    </w:p>
    <w:p>
      <w:pPr>
        <w:pStyle w:val="para36"/>
        <w:spacing w:before="120" w:after="120" w:line="240" w:lineRule="auto"/>
        <w:jc w:val="both"/>
        <w:rPr>
          <w:rFonts w:ascii="Verdana" w:hAnsi="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pPr>
        <w:pStyle w:val="para36"/>
        <w:spacing w:before="120" w:after="120" w:line="240" w:lineRule="auto"/>
        <w:jc w:val="both"/>
        <w:rPr>
          <w:rFonts w:ascii="Verdana" w:hAnsi="Verdana"/>
          <w:sz w:val="20"/>
          <w:szCs w:val="20"/>
          <w:lang w:val="sl-si"/>
        </w:rPr>
      </w:pPr>
      <w:r>
        <w:rPr>
          <w:rFonts w:ascii="Verdana" w:hAnsi="Verdana"/>
          <w:sz w:val="20"/>
          <w:szCs w:val="20"/>
          <w:lang w:val="sl-si"/>
        </w:rPr>
      </w:r>
    </w:p>
    <w:p>
      <w:pPr>
        <w:pStyle w:val="para36"/>
        <w:numPr>
          <w:ilvl w:val="0"/>
          <w:numId w:val="29"/>
        </w:numPr>
        <w:ind w:left="720" w:hanging="360"/>
        <w:spacing w:before="120" w:after="120" w:line="240" w:lineRule="auto"/>
        <w:jc w:val="both"/>
        <w:rPr>
          <w:rFonts w:ascii="Verdana" w:hAnsi="Verdana"/>
          <w:sz w:val="20"/>
          <w:szCs w:val="20"/>
          <w:lang w:val="sl-si"/>
        </w:rPr>
      </w:pPr>
      <w:r>
        <w:rPr>
          <w:rFonts w:ascii="Verdana" w:hAnsi="Verdana"/>
          <w:sz w:val="20"/>
          <w:szCs w:val="20"/>
          <w:lang w:val="sl-si"/>
        </w:rPr>
        <w:t>Izvajalec lahko predloži finančno zavarovanje v enaki višini in obliki za vsakih 12 mesecev izvajanja pogodbe, pri čemer pa mora vsakokrat najkasneje 30 dni pred iztekom veljavnosti obstoječega zavarovanja predložiti novo istovrstno finančno zavarovanje z veljavnostjo še 1 mesec po predaji naslednje za novo fazo izvedbe, sicer je to razlog za unovčitev obstoječega finančnega zavarovanja.</w:t>
      </w:r>
    </w:p>
    <w:p>
      <w:pPr>
        <w:pStyle w:val="para36"/>
        <w:spacing w:before="120" w:after="120" w:line="240" w:lineRule="auto"/>
        <w:jc w:val="both"/>
        <w:rPr>
          <w:rFonts w:ascii="Verdana" w:hAnsi="Verdana"/>
          <w:sz w:val="20"/>
          <w:szCs w:val="20"/>
          <w:lang w:val="sl-si"/>
        </w:rPr>
      </w:pPr>
      <w:r>
        <w:rPr>
          <w:rFonts w:ascii="Verdana" w:hAnsi="Verdana"/>
          <w:sz w:val="20"/>
          <w:szCs w:val="20"/>
          <w:lang w:val="sl-si"/>
        </w:rPr>
      </w:r>
    </w:p>
    <w:p>
      <w:pPr>
        <w:pStyle w:val="para36"/>
        <w:numPr>
          <w:ilvl w:val="0"/>
          <w:numId w:val="29"/>
        </w:numPr>
        <w:ind w:left="720" w:hanging="360"/>
        <w:spacing w:before="120" w:after="120" w:line="240" w:lineRule="auto"/>
        <w:jc w:val="both"/>
        <w:widowControl w:val="0"/>
        <w:rPr>
          <w:rFonts w:ascii="Verdana" w:hAnsi="Verdana"/>
          <w:sz w:val="20"/>
          <w:szCs w:val="20"/>
          <w:lang w:val="sl-si"/>
        </w:rPr>
      </w:pPr>
      <w:r>
        <w:rPr>
          <w:rFonts w:ascii="Verdana" w:hAnsi="Verdana"/>
          <w:sz w:val="20"/>
          <w:szCs w:val="20"/>
          <w:lang w:val="sl-si"/>
        </w:rPr>
        <w:t>Naročnik lahko unovči finančno zavarovanje v naslednjih primerih:</w:t>
      </w:r>
    </w:p>
    <w:p>
      <w:pPr>
        <w:pStyle w:val="para21"/>
        <w:numPr>
          <w:ilvl w:val="0"/>
          <w:numId w:val="2"/>
        </w:numPr>
        <w:ind w:left="720" w:hanging="360"/>
        <w:rPr>
          <w:rFonts w:ascii="Verdana" w:hAnsi="Verdana"/>
          <w:szCs w:val="20"/>
          <w:lang w:val="sl-si"/>
        </w:rPr>
      </w:pPr>
      <w:r>
        <w:rPr>
          <w:rFonts w:ascii="Verdana" w:hAnsi="Verdana"/>
          <w:szCs w:val="20"/>
          <w:lang w:val="sl-si"/>
        </w:rPr>
        <w:t>če izvajalec storitve ne opravlja v skladu z zahtevami in obveznostmi iz pogodbe, ponudbe ali specifikacij  ali teh storitev ne opravlja kakovostno;</w:t>
      </w:r>
    </w:p>
    <w:p>
      <w:pPr>
        <w:pStyle w:val="para21"/>
        <w:numPr>
          <w:ilvl w:val="0"/>
          <w:numId w:val="2"/>
        </w:numPr>
        <w:ind w:left="720" w:hanging="360"/>
        <w:rPr>
          <w:rFonts w:ascii="Verdana" w:hAnsi="Verdana"/>
          <w:szCs w:val="20"/>
          <w:lang w:val="sl-si"/>
        </w:rPr>
      </w:pPr>
      <w:r>
        <w:rPr>
          <w:rFonts w:ascii="Verdana" w:hAnsi="Verdana"/>
          <w:szCs w:val="20"/>
          <w:lang w:val="sl-si"/>
        </w:rPr>
        <w:t>če naročnik razdre pogodbo, ker izvajalec ne doseže ali tudi po roku za najvišjo pogodbeno kazen ne konča katere projektne faze skladno z obrazcem ePRO-Specifikacije ali storitve ali produkti te faze niso skladni z zahtevano funkcionalnostjo in kakovostjo ter ni podpisan prevzemni zapisnik za to fazo;</w:t>
      </w:r>
    </w:p>
    <w:p>
      <w:pPr>
        <w:pStyle w:val="para21"/>
        <w:numPr>
          <w:ilvl w:val="0"/>
          <w:numId w:val="2"/>
        </w:numPr>
        <w:ind w:left="720" w:hanging="360"/>
        <w:rPr>
          <w:rFonts w:ascii="Verdana" w:hAnsi="Verdana"/>
          <w:szCs w:val="20"/>
          <w:lang w:val="sl-si"/>
        </w:rPr>
      </w:pPr>
      <w:r>
        <w:rPr>
          <w:rFonts w:ascii="Verdana" w:hAnsi="Verdana"/>
          <w:szCs w:val="20"/>
          <w:lang w:val="sl-si"/>
        </w:rPr>
        <w:t>če izvajalec objavi insolventnost, prisilno poravnavo ali stečaj;</w:t>
      </w:r>
    </w:p>
    <w:p>
      <w:pPr>
        <w:pStyle w:val="para21"/>
        <w:numPr>
          <w:ilvl w:val="0"/>
          <w:numId w:val="2"/>
        </w:numPr>
        <w:ind w:left="720" w:hanging="360"/>
        <w:rPr>
          <w:rFonts w:ascii="Verdana" w:hAnsi="Verdana"/>
          <w:szCs w:val="20"/>
          <w:lang w:val="sl-si"/>
        </w:rPr>
      </w:pPr>
      <w:r>
        <w:rPr>
          <w:rFonts w:ascii="Verdana" w:hAnsi="Verdana"/>
          <w:szCs w:val="20"/>
          <w:lang w:val="sl-si"/>
        </w:rPr>
        <w:t>če izvajalec krši zaupnost podatkov;</w:t>
      </w:r>
    </w:p>
    <w:p>
      <w:pPr>
        <w:pStyle w:val="para21"/>
        <w:numPr>
          <w:ilvl w:val="0"/>
          <w:numId w:val="2"/>
        </w:numPr>
        <w:ind w:left="720" w:hanging="360"/>
        <w:rPr>
          <w:rFonts w:ascii="Verdana" w:hAnsi="Verdana"/>
          <w:szCs w:val="20"/>
          <w:lang w:val="sl-si"/>
        </w:rPr>
      </w:pPr>
      <w:r>
        <w:rPr>
          <w:rFonts w:ascii="Verdana" w:hAnsi="Verdana"/>
          <w:szCs w:val="20"/>
          <w:lang w:val="sl-si"/>
        </w:rPr>
        <w:t>če izvajalec naročniku pravočasno ne izroči finančnega zavarovanja za naslednjih 12 mesecev ali za odpravo napak v garancijskem roku;</w:t>
      </w:r>
    </w:p>
    <w:p>
      <w:pPr>
        <w:pStyle w:val="para21"/>
        <w:numPr>
          <w:ilvl w:val="0"/>
          <w:numId w:val="2"/>
        </w:numPr>
        <w:ind w:left="720" w:hanging="360"/>
        <w:rPr>
          <w:rFonts w:ascii="Verdana" w:hAnsi="Verdana"/>
          <w:szCs w:val="20"/>
          <w:lang w:val="sl-si"/>
        </w:rPr>
      </w:pPr>
      <w:r>
        <w:rPr>
          <w:rFonts w:ascii="Verdana" w:hAnsi="Verdana"/>
          <w:szCs w:val="20"/>
          <w:lang w:val="sl-si"/>
        </w:rPr>
        <w:t>če izvajalec brez dogovora z naročnikom odstopi od pogodbe in razlogi za to niso na naročnikovi strani, ali če ne preda vseh produktov, podatkov in dokumentacije, ki so predmet te pogodbe, naročniku, ali če ne poskrbi za uvajanje naslednjega izvajalca v posel skladno z navodili naročnika.</w:t>
      </w:r>
    </w:p>
    <w:p>
      <w:pPr>
        <w:pStyle w:val="para36"/>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 xml:space="preserve"> 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FINANČNO ZAVAROVANJE ZA ODPRAVO NAPAK V GARANCIJSKEM ROKU</w:t>
      </w:r>
      <w:r/>
      <w:bookmarkStart w:id="0" w:name="_Hlk83108819"/>
      <w:r/>
      <w:bookmarkEnd w:id="0"/>
      <w:r/>
      <w:r>
        <w:rPr>
          <w:rFonts w:ascii="Verdana" w:hAnsi="Verdana"/>
          <w:sz w:val="20"/>
          <w:szCs w:val="20"/>
          <w:lang w:val="sl-si"/>
        </w:rPr>
      </w:r>
    </w:p>
    <w:p>
      <w:pPr>
        <w:numPr>
          <w:ilvl w:val="2"/>
          <w:numId w:val="3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mora ob predaji vsake nadgradnje kot pogoj za pravilno dobavo naročniku izročiti finančno zavarovanje za odpravo napak v garancijskem roku v naslednji obliki:</w:t>
      </w:r>
    </w:p>
    <w:tbl>
      <w:tblPr>
        <w:tblStyle w:val="TableNormal"/>
        <w:name w:val="Table14"/>
        <w:tabOrder w:val="0"/>
        <w:jc w:val="right"/>
        <w:tblInd w:w="0" w:type="dxa"/>
        <w:tblW w:w="9067" w:type="dxa"/>
        <w:tblLook w:val="04A0" w:firstRow="1" w:lastRow="0" w:firstColumn="1" w:lastColumn="0" w:noHBand="0" w:noVBand="1"/>
      </w:tblPr>
      <w:tblGrid>
        <w:gridCol w:w="3964"/>
        <w:gridCol w:w="2692"/>
        <w:gridCol w:w="2411"/>
      </w:tblGrid>
      <w:tr>
        <w:trPr>
          <w:tblHeader w:val="0"/>
          <w:cantSplit w:val="0"/>
          <w:trHeight w:val="20" w:hRule="atLeast"/>
        </w:trPr>
        <w:tc>
          <w:tcPr>
            <w:tcW w:w="3964"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Vrsta zavarovanja</w:t>
            </w:r>
          </w:p>
        </w:tc>
        <w:tc>
          <w:tcPr>
            <w:tcW w:w="269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Vrednost in valuta</w:t>
            </w:r>
          </w:p>
        </w:tc>
        <w:tc>
          <w:tcPr>
            <w:tcW w:w="241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Veljavnost</w:t>
            </w:r>
          </w:p>
          <w:p>
            <w:pPr>
              <w:spacing w:after="0" w:line="240" w:lineRule="auto"/>
              <w:jc w:val="center"/>
              <w:widowControl w:val="0"/>
              <w:rPr>
                <w:rFonts w:ascii="Verdana" w:hAnsi="Verdana"/>
                <w:sz w:val="20"/>
                <w:szCs w:val="20"/>
                <w:lang w:val="sl-si"/>
              </w:rPr>
            </w:pPr>
            <w:r>
              <w:rPr>
                <w:rFonts w:ascii="Verdana" w:hAnsi="Verdana"/>
                <w:sz w:val="20"/>
                <w:szCs w:val="20"/>
                <w:lang w:val="sl-si"/>
              </w:rPr>
              <w:t>(od / do)</w:t>
            </w:r>
          </w:p>
        </w:tc>
      </w:tr>
      <w:tr>
        <w:trPr>
          <w:tblHeader w:val="0"/>
          <w:cantSplit w:val="0"/>
          <w:trHeight w:val="20" w:hRule="atLeast"/>
        </w:trPr>
        <w:tc>
          <w:tcPr>
            <w:tcW w:w="3964"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Podpisana in žigosana bianco menica skupaj s pooblastilom za izpolnitev ali poroštvo.</w:t>
            </w:r>
          </w:p>
        </w:tc>
        <w:tc>
          <w:tcPr>
            <w:tcW w:w="269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EUR</w:t>
            </w:r>
          </w:p>
          <w:p>
            <w:pPr>
              <w:spacing w:after="0" w:line="240" w:lineRule="auto"/>
              <w:jc w:val="center"/>
              <w:widowControl w:val="0"/>
              <w:rPr>
                <w:rFonts w:ascii="Verdana" w:hAnsi="Verdana"/>
                <w:sz w:val="20"/>
                <w:szCs w:val="20"/>
                <w:lang w:val="sl-si"/>
              </w:rPr>
            </w:pPr>
            <w:r>
              <w:rPr>
                <w:rFonts w:ascii="Verdana" w:hAnsi="Verdana"/>
                <w:i/>
                <w:sz w:val="14"/>
                <w:szCs w:val="14"/>
                <w:lang w:val="sl-si"/>
              </w:rPr>
              <w:t>(5% skupne pogodbene vrednosti z DDV)</w:t>
            </w:r>
            <w:r>
              <w:rPr>
                <w:rFonts w:ascii="Verdana" w:hAnsi="Verdana"/>
                <w:sz w:val="20"/>
                <w:szCs w:val="20"/>
                <w:lang w:val="sl-si"/>
              </w:rPr>
            </w:r>
          </w:p>
        </w:tc>
        <w:tc>
          <w:tcPr>
            <w:tcW w:w="2411"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sz w:val="20"/>
                <w:szCs w:val="20"/>
                <w:lang w:val="sl-si"/>
              </w:rPr>
              <w:t>Od končnega prevzema (prehoda naročnika na nov sistem) do 12 mesecev od prenehanja pogodbe.</w:t>
            </w:r>
          </w:p>
        </w:tc>
      </w:tr>
    </w:tbl>
    <w:p>
      <w:pPr>
        <w:numPr>
          <w:ilvl w:val="3"/>
          <w:numId w:val="31"/>
        </w:numPr>
        <w:ind w:left="1077" w:hanging="357"/>
        <w:spacing w:before="120" w:after="120" w:line="240" w:lineRule="auto"/>
        <w:jc w:val="both"/>
        <w:widowControl w:val="0"/>
        <w:rPr>
          <w:rFonts w:ascii="Verdana" w:hAnsi="Verdana"/>
          <w:sz w:val="20"/>
          <w:szCs w:val="20"/>
          <w:lang w:val="sl-si"/>
        </w:rPr>
      </w:pPr>
      <w:r>
        <w:rPr>
          <w:rFonts w:ascii="Verdana" w:hAnsi="Verdana"/>
          <w:sz w:val="20"/>
          <w:szCs w:val="20"/>
          <w:lang w:val="sl-si"/>
        </w:rPr>
        <w:t>če izvajalec v času garancije ne izvaja garancijskih obveznosti na način, opredeljen v tej pogodbi;</w:t>
      </w:r>
    </w:p>
    <w:p>
      <w:pPr>
        <w:numPr>
          <w:ilvl w:val="3"/>
          <w:numId w:val="31"/>
        </w:numPr>
        <w:ind w:left="1077" w:hanging="357"/>
        <w:spacing w:before="120" w:after="120" w:line="240" w:lineRule="auto"/>
        <w:jc w:val="both"/>
        <w:widowControl w:val="0"/>
        <w:rPr>
          <w:rFonts w:ascii="Verdana" w:hAnsi="Verdana"/>
          <w:sz w:val="20"/>
          <w:szCs w:val="20"/>
          <w:lang w:val="sl-si"/>
        </w:rPr>
      </w:pPr>
      <w:r>
        <w:rPr>
          <w:rFonts w:ascii="Verdana" w:hAnsi="Verdana"/>
          <w:sz w:val="20"/>
          <w:szCs w:val="20"/>
          <w:lang w:val="sl-si"/>
        </w:rPr>
        <w:t>če izvajalec objavi nesolventnost, prisilno poravnavo ali stečaj;</w:t>
      </w:r>
    </w:p>
    <w:p>
      <w:pPr>
        <w:numPr>
          <w:ilvl w:val="0"/>
          <w:numId w:val="33"/>
        </w:numPr>
        <w:ind w:left="714" w:hanging="357"/>
        <w:spacing w:after="120" w:line="240" w:lineRule="auto"/>
        <w:jc w:val="both"/>
        <w:widowControl w:val="0"/>
        <w:rPr>
          <w:rFonts w:ascii="Verdana" w:hAnsi="Verdana"/>
          <w:sz w:val="20"/>
          <w:szCs w:val="20"/>
          <w:lang w:val="sl-si"/>
        </w:rPr>
      </w:pPr>
      <w:r>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pPr>
        <w:pStyle w:val="para36"/>
        <w:numPr>
          <w:ilvl w:val="0"/>
          <w:numId w:val="33"/>
        </w:numPr>
        <w:ind w:left="714" w:hanging="357"/>
        <w:spacing w:after="120" w:line="240" w:lineRule="auto"/>
        <w:jc w:val="both"/>
        <w:widowControl w:val="0"/>
        <w:rPr>
          <w:rFonts w:ascii="Verdana" w:hAnsi="Verdana"/>
          <w:sz w:val="20"/>
          <w:szCs w:val="20"/>
          <w:lang w:val="sl-si"/>
        </w:rPr>
      </w:pPr>
      <w:r>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pPr>
        <w:pStyle w:val="para36"/>
        <w:ind w:left="1077"/>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33"/>
        </w:numPr>
        <w:ind w:left="714" w:hanging="357"/>
        <w:spacing w:after="120" w:line="240" w:lineRule="auto"/>
        <w:jc w:val="both"/>
        <w:widowControl w:val="0"/>
        <w:rPr>
          <w:rFonts w:ascii="Verdana" w:hAnsi="Verdana"/>
          <w:sz w:val="20"/>
          <w:szCs w:val="20"/>
          <w:lang w:val="sl-si"/>
        </w:rPr>
      </w:pPr>
      <w:r>
        <w:rPr>
          <w:rFonts w:ascii="Verdana" w:hAnsi="Verdana"/>
          <w:sz w:val="20"/>
          <w:szCs w:val="20"/>
          <w:lang w:val="sl-si"/>
        </w:rPr>
        <w:t>Naročnik lahko unovči finančno zavarovanje v naslednjih primerih:</w:t>
      </w:r>
    </w:p>
    <w:p>
      <w:pPr>
        <w:pStyle w:val="para36"/>
        <w:ind w:left="1077"/>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9"/>
        </w:numPr>
        <w:ind w:left="1440" w:hanging="360"/>
        <w:rPr>
          <w:rFonts w:ascii="Verdana" w:hAnsi="Verdana"/>
          <w:sz w:val="20"/>
          <w:szCs w:val="20"/>
          <w:lang w:val="sl-si"/>
        </w:rPr>
      </w:pPr>
      <w:r>
        <w:rPr>
          <w:rFonts w:ascii="Verdana" w:hAnsi="Verdana"/>
          <w:sz w:val="20"/>
          <w:szCs w:val="20"/>
          <w:lang w:val="sl-si"/>
        </w:rPr>
        <w:t xml:space="preserve">če izvajalec v času garancije ne izvaja garancijskih obveznosti na način, opredeljen v tej pogodbi </w:t>
      </w:r>
    </w:p>
    <w:p>
      <w:pPr>
        <w:pStyle w:val="para36"/>
        <w:numPr>
          <w:ilvl w:val="0"/>
          <w:numId w:val="19"/>
        </w:numPr>
        <w:ind w:left="1440" w:hanging="360"/>
        <w:rPr>
          <w:rFonts w:ascii="Verdana" w:hAnsi="Verdana"/>
          <w:sz w:val="20"/>
          <w:szCs w:val="20"/>
          <w:lang w:val="sl-si"/>
        </w:rPr>
      </w:pPr>
      <w:r>
        <w:rPr>
          <w:rFonts w:ascii="Verdana" w:hAnsi="Verdana"/>
          <w:sz w:val="20"/>
          <w:szCs w:val="20"/>
          <w:lang w:val="sl-si"/>
        </w:rPr>
        <w:t>če izvajalec objavi insolventnost, prisilno poravnavo ali stečaj;</w:t>
      </w:r>
    </w:p>
    <w:p>
      <w:pPr>
        <w:pStyle w:val="para36"/>
        <w:numPr>
          <w:ilvl w:val="0"/>
          <w:numId w:val="19"/>
        </w:numPr>
        <w:ind w:left="1440" w:hanging="360"/>
        <w:rPr>
          <w:rFonts w:ascii="Verdana" w:hAnsi="Verdana"/>
          <w:sz w:val="20"/>
          <w:szCs w:val="20"/>
          <w:lang w:val="sl-si"/>
        </w:rPr>
      </w:pPr>
      <w:r>
        <w:rPr>
          <w:rFonts w:ascii="Verdana" w:hAnsi="Verdana"/>
          <w:sz w:val="20"/>
          <w:szCs w:val="20"/>
          <w:lang w:val="sl-si"/>
        </w:rPr>
        <w:t xml:space="preserve">če izvajalec  ne preda naročniku  popolne tehnične in uporabniške dokumentacije, vseh dostopov in administrativnih pravic, ali če na naročnikovo željo ne poskrbi kot dober strokovnjak za vse, kar je na njegovi strani potrebno, da se za plačilo po tarifah in cenah iz te pogodbe v delo uvede nov izvajalec. </w:t>
      </w:r>
    </w:p>
    <w:p>
      <w:pPr>
        <w:pStyle w:val="para36"/>
        <w:ind w:left="714"/>
        <w:spacing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 xml:space="preserve"> 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POSLOVNA SKRIVNOST IN ZAUPNI PODATKI</w:t>
      </w:r>
    </w:p>
    <w:p>
      <w:pPr>
        <w:numPr>
          <w:ilvl w:val="2"/>
          <w:numId w:val="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Pogodbeni stranki se zavezujeta, da bosta osebne podatke varovali v skladu z določili te pogodbe, zakonom, ki ureja varstvo osebnih podatkov in Uredbo (EU) 2016/679 Evropskega parlamenta ter Sveta z dne 27. aprila 2016 o varstvu posameznikov pri obdelavi osebnih podatkov in o prostem pretoku takih podatkov skladno s Pogodbo za obdelavo in varstvo osebnih podatkov, ki jo skleneta ob podpisu te pogodbe.</w:t>
      </w:r>
    </w:p>
    <w:p>
      <w:pPr>
        <w:numPr>
          <w:ilvl w:val="2"/>
          <w:numId w:val="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Pogodbeni stranki sta sporazumni, da vsi podatki, do katerih bi prišli z izvedbo te pogodbe, predstavljajo zaupne podatke in se zavezujeta, da bosta vse podatke skrbno varovali in jih uporabljali izključno v zvezi z izvedbo te pogodbe.</w:t>
      </w:r>
    </w:p>
    <w:p>
      <w:pPr>
        <w:numPr>
          <w:ilvl w:val="2"/>
          <w:numId w:val="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je dolžan obvestiti svoje delavce, da lahko pri svojem delu pridejo v stik z zaupnimi podatki, pri delu z njimi pa morajo ti ravnati z največjo mero skrbnosti.</w:t>
      </w:r>
    </w:p>
    <w:p>
      <w:pPr>
        <w:numPr>
          <w:ilvl w:val="2"/>
          <w:numId w:val="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pPr>
        <w:numPr>
          <w:ilvl w:val="2"/>
          <w:numId w:val="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Za izvajalca, ki opravlja za naročnika pogodbene obveznosti, velja glede teh obveznosti enako strog način varovanja podatkov, kot jih ima naročnik.</w:t>
      </w:r>
    </w:p>
    <w:p>
      <w:pPr>
        <w:numPr>
          <w:ilvl w:val="2"/>
          <w:numId w:val="1"/>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Obveznost varovanja podatkov se nanaša tako na čas izvrševanja pogodbe, kot tudi za čas po tem. V primeru kršitve določb o varovanju osebnih ali drugih občutljivih oziroma zaupnih podatkov naročnika, je izvajalec naročniku odškodninsko odgovoren za vso posredno in neposredno škodo. Morebitna zloraba podatkov pa pomeni tudi kazensko odgovornost kršiteljev.</w:t>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 xml:space="preserve"> 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OSTALE OBVEZNOSTI POGODBENIH STRANK</w:t>
      </w:r>
    </w:p>
    <w:p>
      <w:pPr>
        <w:numPr>
          <w:ilvl w:val="0"/>
          <w:numId w:val="9"/>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Pravice na produktih, ki niso last izvajalca, se pa uporabljajo v okviru tega posla, izvajalec prenese na naročnika v obsegu, v kakršnem jih je sam pridobil.</w:t>
      </w:r>
    </w:p>
    <w:p>
      <w:pPr>
        <w:numPr>
          <w:ilvl w:val="0"/>
          <w:numId w:val="9"/>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Vsa dokumentacija, povezana z izvajanjem pogodbe, mora biti hranjena na način, da zagotavlja revizijsko sled izvedbe pogodbe.</w:t>
      </w:r>
    </w:p>
    <w:p>
      <w:pPr>
        <w:numPr>
          <w:ilvl w:val="0"/>
          <w:numId w:val="9"/>
        </w:numPr>
        <w:ind w:left="720" w:hanging="360"/>
        <w:spacing w:before="120" w:after="120" w:line="240" w:lineRule="auto"/>
        <w:jc w:val="both"/>
        <w:widowControl w:val="0"/>
        <w:rPr>
          <w:rFonts w:ascii="Verdana" w:hAnsi="Verdana"/>
          <w:sz w:val="20"/>
          <w:szCs w:val="20"/>
          <w:lang w:val="sl-si"/>
        </w:rPr>
      </w:pPr>
      <w:r>
        <w:rPr>
          <w:rFonts w:ascii="Verdana" w:hAnsi="Verdana"/>
          <w:sz w:val="20"/>
          <w:szCs w:val="20"/>
          <w:lang w:val="sl-si"/>
        </w:rPr>
        <w:t>Izvajalec mora tako za potrebe bodočih kontrol hraniti vso dokumentacijo, povezano z izvajanjem pogodbenih obveznosti, v skladu z veljavno zakonodajo tj. najmanj pet let od datuma izdaje odločitve o javnem naročilu oziroma najmanj dve leti po preteku pogodbe o izvedbi javnega naročila.</w:t>
      </w:r>
    </w:p>
    <w:p>
      <w:pPr>
        <w:numPr>
          <w:ilvl w:val="0"/>
          <w:numId w:val="9"/>
        </w:numPr>
        <w:ind w:left="720" w:hanging="360"/>
        <w:spacing w:before="120" w:after="120" w:line="240" w:lineRule="auto"/>
        <w:jc w:val="both"/>
        <w:widowControl w:val="0"/>
        <w:rPr>
          <w:rFonts w:ascii="Verdana" w:hAnsi="Verdana"/>
          <w:sz w:val="20"/>
          <w:szCs w:val="20"/>
          <w:lang w:val="sl-si"/>
        </w:rPr>
      </w:pPr>
      <w:r>
        <w:rPr>
          <w:rFonts w:ascii="Verdana" w:hAnsi="Verdana"/>
          <w:sz w:val="20"/>
          <w:szCs w:val="20"/>
          <w:lang w:val="sl-si"/>
        </w:rPr>
        <w:t>Izvajalec se zavezuje, da bo zagotovil dostop do celotne dokumentacije v zvezi z izvajanjem pogodbe naročniku,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pPr>
        <w:numPr>
          <w:ilvl w:val="0"/>
          <w:numId w:val="9"/>
        </w:numPr>
        <w:ind w:left="720" w:hanging="360"/>
        <w:spacing w:before="120" w:after="120" w:line="240" w:lineRule="auto"/>
        <w:jc w:val="both"/>
        <w:widowControl w:val="0"/>
        <w:rPr>
          <w:rFonts w:ascii="Verdana" w:hAnsi="Verdana"/>
          <w:sz w:val="20"/>
          <w:szCs w:val="20"/>
          <w:lang w:val="sl-si"/>
        </w:rPr>
      </w:pPr>
      <w:r>
        <w:rPr>
          <w:rFonts w:ascii="Verdana" w:hAnsi="Verdana"/>
          <w:sz w:val="20"/>
          <w:szCs w:val="20"/>
          <w:lang w:val="sl-si"/>
        </w:rPr>
        <w:t>Revizijska sled mora omogočati predstavitev časovnega zaporedja vseh dogodkov, povezanih z izvedbo posamezne obveznosti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pPr>
        <w:numPr>
          <w:ilvl w:val="0"/>
          <w:numId w:val="9"/>
        </w:numPr>
        <w:ind w:left="720" w:hanging="360"/>
        <w:spacing w:before="120" w:after="120" w:line="240" w:lineRule="auto"/>
        <w:jc w:val="both"/>
        <w:widowControl w:val="0"/>
        <w:rPr>
          <w:rFonts w:ascii="Verdana" w:hAnsi="Verdana"/>
          <w:sz w:val="20"/>
          <w:szCs w:val="20"/>
          <w:lang w:val="sl-si"/>
        </w:rPr>
      </w:pPr>
      <w:r>
        <w:rPr>
          <w:rFonts w:ascii="Verdana" w:hAnsi="Verdana"/>
          <w:sz w:val="20"/>
          <w:szCs w:val="20"/>
          <w:lang w:val="sl-si"/>
        </w:rPr>
        <w:t>Informacije, ki jih revizijska sled vključuje, morajo biti takšne, da dokazujejo neoporečnost shranjene informacije. Njihov nastanek in hramba morata zagotavljati njihovo neoporečnost in uporabnost v vsem času hranjenja informacij.</w:t>
      </w:r>
    </w:p>
    <w:p>
      <w:pPr>
        <w:spacing w:before="120" w:after="120" w:line="240" w:lineRule="auto"/>
        <w:jc w:val="both"/>
        <w:widowControl w:val="0"/>
        <w:rPr>
          <w:rFonts w:ascii="Verdana" w:hAnsi="Verdana"/>
          <w:sz w:val="20"/>
          <w:szCs w:val="20"/>
          <w:lang w:val="sl-si"/>
        </w:rPr>
      </w:pPr>
      <w:r>
        <w:rPr>
          <w:rFonts w:ascii="Verdana" w:hAnsi="Verdana"/>
          <w:sz w:val="20"/>
          <w:szCs w:val="20"/>
          <w:lang w:val="sl-si"/>
        </w:rPr>
      </w:r>
    </w:p>
    <w:p>
      <w:pPr>
        <w:pStyle w:val="para36"/>
        <w:numPr>
          <w:ilvl w:val="0"/>
          <w:numId w:val="14"/>
        </w:numPr>
        <w:ind w:left="720" w:hanging="360"/>
        <w:spacing w:after="120" w:line="240" w:lineRule="auto"/>
        <w:jc w:val="center"/>
        <w:widowControl w:val="0"/>
        <w:rPr>
          <w:rFonts w:ascii="Verdana" w:hAnsi="Verdana"/>
          <w:sz w:val="20"/>
          <w:szCs w:val="20"/>
          <w:lang w:val="sl-si"/>
        </w:rPr>
      </w:pPr>
      <w:r>
        <w:rPr>
          <w:rFonts w:ascii="Verdana" w:hAnsi="Verdana"/>
          <w:sz w:val="20"/>
          <w:szCs w:val="20"/>
          <w:lang w:val="sl-si"/>
        </w:rPr>
        <w:t xml:space="preserve"> člen</w:t>
      </w:r>
    </w:p>
    <w:p>
      <w:pPr>
        <w:spacing w:before="120" w:after="120" w:line="240" w:lineRule="auto"/>
        <w:jc w:val="center"/>
        <w:widowControl w:val="0"/>
        <w:rPr>
          <w:rFonts w:ascii="Verdana" w:hAnsi="Verdana"/>
          <w:sz w:val="20"/>
          <w:szCs w:val="20"/>
          <w:lang w:val="sl-si"/>
        </w:rPr>
      </w:pPr>
      <w:r>
        <w:rPr>
          <w:rFonts w:ascii="Verdana" w:hAnsi="Verdana"/>
          <w:sz w:val="20"/>
          <w:szCs w:val="20"/>
          <w:lang w:val="sl-si"/>
        </w:rPr>
        <w:t>KONČNE DOLOČBE</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pPr>
        <w:numPr>
          <w:ilvl w:val="3"/>
          <w:numId w:val="28"/>
        </w:numPr>
        <w:ind w:left="1077"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pridobitev posla ali</w:t>
      </w:r>
    </w:p>
    <w:p>
      <w:pPr>
        <w:numPr>
          <w:ilvl w:val="3"/>
          <w:numId w:val="28"/>
        </w:numPr>
        <w:ind w:left="1077"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za sklenitev posla pod ugodnejšimi pogoji ali</w:t>
      </w:r>
    </w:p>
    <w:p>
      <w:pPr>
        <w:numPr>
          <w:ilvl w:val="3"/>
          <w:numId w:val="28"/>
        </w:numPr>
        <w:ind w:left="1077"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za opustitev dolžnega nadzora nad izvajanjem pogodbenih obveznosti ali</w:t>
      </w:r>
    </w:p>
    <w:p>
      <w:pPr>
        <w:numPr>
          <w:ilvl w:val="3"/>
          <w:numId w:val="28"/>
        </w:numPr>
        <w:ind w:left="1077"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pPr>
        <w:ind w:left="720"/>
        <w:spacing w:before="120" w:after="120" w:line="240" w:lineRule="auto"/>
        <w:jc w:val="both"/>
        <w:widowControl w:val="0"/>
        <w:rPr>
          <w:rFonts w:ascii="Verdana" w:hAnsi="Verdana"/>
          <w:sz w:val="20"/>
          <w:szCs w:val="20"/>
          <w:lang w:val="sl-si"/>
        </w:rPr>
      </w:pPr>
      <w:r>
        <w:rPr>
          <w:rFonts w:ascii="Verdana" w:hAnsi="Verdana"/>
          <w:sz w:val="20"/>
          <w:szCs w:val="20"/>
          <w:lang w:val="sl-si"/>
        </w:rPr>
        <w:t>je v primeru citiranih ravnanj nična.</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Pogodba je sklenjena pod razveznim pogojem, ki se uresniči, če je naročnik seznanjen, da je:</w:t>
      </w:r>
    </w:p>
    <w:p>
      <w:pPr>
        <w:pStyle w:val="para36"/>
        <w:numPr>
          <w:ilvl w:val="0"/>
          <w:numId w:val="7"/>
        </w:numPr>
        <w:ind w:left="1429" w:hanging="357"/>
        <w:spacing w:before="120" w:after="120" w:line="240" w:lineRule="auto"/>
        <w:jc w:val="both"/>
        <w:widowControl w:val="0"/>
        <w:rPr>
          <w:rFonts w:ascii="Verdana" w:hAnsi="Verdana"/>
          <w:sz w:val="20"/>
          <w:szCs w:val="20"/>
          <w:lang w:val="sl-si"/>
        </w:rPr>
      </w:pPr>
      <w:r>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pPr>
        <w:pStyle w:val="para36"/>
        <w:numPr>
          <w:ilvl w:val="0"/>
          <w:numId w:val="7"/>
        </w:numPr>
        <w:ind w:left="1434" w:hanging="360"/>
        <w:spacing w:before="120" w:after="120" w:line="240" w:lineRule="auto"/>
        <w:jc w:val="both"/>
        <w:widowControl w:val="0"/>
        <w:rPr>
          <w:rFonts w:ascii="Verdana" w:hAnsi="Verdana"/>
          <w:sz w:val="20"/>
          <w:szCs w:val="20"/>
          <w:lang w:val="sl-si"/>
        </w:rPr>
      </w:pPr>
      <w:r>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pPr>
        <w:ind w:left="714"/>
        <w:spacing w:before="120" w:after="120" w:line="240" w:lineRule="auto"/>
        <w:jc w:val="both"/>
        <w:widowControl w:val="0"/>
        <w:rPr>
          <w:rFonts w:ascii="Verdana" w:hAnsi="Verdana"/>
          <w:sz w:val="20"/>
          <w:szCs w:val="20"/>
          <w:lang w:val="sl-si"/>
        </w:rPr>
      </w:pPr>
      <w:r>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pPr>
        <w:ind w:left="714"/>
        <w:spacing w:before="120" w:after="120" w:line="240" w:lineRule="auto"/>
        <w:jc w:val="both"/>
        <w:widowControl w:val="0"/>
        <w:rPr>
          <w:rFonts w:ascii="Verdana" w:hAnsi="Verdana"/>
          <w:sz w:val="20"/>
          <w:szCs w:val="20"/>
          <w:lang w:val="sl-si"/>
        </w:rPr>
      </w:pPr>
      <w:r>
        <w:rPr>
          <w:rFonts w:ascii="Verdana" w:hAnsi="Verdana"/>
          <w:sz w:val="20"/>
          <w:szCs w:val="20"/>
          <w:lang w:val="sl-si"/>
        </w:rPr>
        <w:t>V primeru izpolnitve razveznega pogoja se šteje, da je pogodba razvezana z dnem sklenitve nove pogodbe o izvedbi javnega naročila.</w:t>
      </w:r>
    </w:p>
    <w:p>
      <w:pPr>
        <w:ind w:left="714"/>
        <w:spacing w:before="120" w:after="120" w:line="240" w:lineRule="auto"/>
        <w:jc w:val="both"/>
        <w:widowControl w:val="0"/>
        <w:rPr>
          <w:rFonts w:ascii="Verdana" w:hAnsi="Verdana"/>
          <w:sz w:val="20"/>
          <w:szCs w:val="20"/>
          <w:lang w:val="sl-si"/>
        </w:rPr>
      </w:pPr>
      <w:r>
        <w:rPr>
          <w:rFonts w:ascii="Verdana" w:hAnsi="Verdana"/>
          <w:sz w:val="20"/>
          <w:szCs w:val="20"/>
          <w:lang w:val="sl-si"/>
        </w:rPr>
        <w:t>Če naročnik v zakonsko določenem roku ne začne novega postopka javnega naročila, se šteje, da je pogodba razvezana trideseti dan od seznanitve s kršitvijo.</w:t>
      </w:r>
    </w:p>
    <w:p>
      <w:pPr>
        <w:numPr>
          <w:ilvl w:val="2"/>
          <w:numId w:val="28"/>
        </w:numPr>
        <w:ind w:left="714" w:hanging="357"/>
        <w:spacing w:before="120" w:after="120" w:line="240" w:lineRule="auto"/>
        <w:jc w:val="both"/>
        <w:widowControl w:val="0"/>
        <w:rPr>
          <w:rFonts w:ascii="Verdana" w:hAnsi="Verdana"/>
          <w:sz w:val="20"/>
          <w:szCs w:val="20"/>
          <w:lang w:val="sl-si"/>
        </w:rPr>
      </w:pPr>
      <w:r>
        <w:rPr>
          <w:rFonts w:ascii="Verdana" w:hAnsi="Verdana"/>
          <w:sz w:val="20"/>
          <w:szCs w:val="20"/>
          <w:lang w:val="sl-si"/>
        </w:rPr>
        <w:t>Pogodba je sestavljena v dveh izvodih, od katerih prejme vsaka pogodbena stranka po en izvod.</w:t>
      </w:r>
    </w:p>
    <w:tbl>
      <w:tblPr>
        <w:tblStyle w:val="TableNormal"/>
        <w:name w:val="Table15"/>
        <w:tabOrder w:val="0"/>
        <w:jc w:val="center"/>
        <w:tblInd w:w="0" w:type="dxa"/>
        <w:tblW w:w="9638" w:type="dxa"/>
        <w:tblLook w:val="04A0" w:firstRow="1" w:lastRow="0" w:firstColumn="1" w:lastColumn="0" w:noHBand="0" w:noVBand="1"/>
      </w:tblPr>
      <w:tblGrid>
        <w:gridCol w:w="4786"/>
        <w:gridCol w:w="4852"/>
      </w:tblGrid>
      <w:tr>
        <w:trPr>
          <w:tblHeader w:val="0"/>
          <w:cantSplit w:val="0"/>
          <w:trHeight w:val="20" w:hRule="atLeast"/>
        </w:trPr>
        <w:tc>
          <w:tcPr>
            <w:tcW w:w="4786"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Začetek veljavnosti</w:t>
            </w:r>
          </w:p>
        </w:tc>
        <w:tc>
          <w:tcPr>
            <w:tcW w:w="485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Konec veljavnosti</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Z dnem podpisa zadnje od pogodbenih strank.</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8 let od prehoda na sistem</w:t>
            </w:r>
          </w:p>
        </w:tc>
      </w:tr>
      <w:tr>
        <w:trPr>
          <w:tblHeader w:val="0"/>
          <w:cantSplit w:val="0"/>
          <w:trHeight w:val="20" w:hRule="atLeast"/>
        </w:trPr>
        <w:tc>
          <w:tcPr>
            <w:tcW w:w="9638" w:type="dxa"/>
            <w:gridSpan w:val="2"/>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sz w:val="20"/>
                <w:szCs w:val="20"/>
                <w:lang w:val="sl-si"/>
              </w:rPr>
            </w:pPr>
            <w:r>
              <w:rPr>
                <w:rFonts w:ascii="Verdana" w:hAnsi="Verdana"/>
                <w:b/>
                <w:sz w:val="20"/>
                <w:szCs w:val="20"/>
                <w:lang w:val="sl-si"/>
              </w:rPr>
              <w:t>Predčasna odpoved pogodbe</w:t>
            </w:r>
            <w:r>
              <w:rPr>
                <w:rFonts w:ascii="Verdana" w:hAnsi="Verdana"/>
                <w:sz w:val="20"/>
                <w:szCs w:val="20"/>
                <w:lang w:val="sl-si"/>
              </w:rPr>
            </w:r>
          </w:p>
        </w:tc>
      </w:tr>
      <w:tr>
        <w:trPr>
          <w:tblHeader w:val="0"/>
          <w:cantSplit w:val="0"/>
          <w:trHeight w:val="20" w:hRule="atLeast"/>
        </w:trPr>
        <w:tc>
          <w:tcPr>
            <w:tcW w:w="4786"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Razlogi</w:t>
            </w:r>
          </w:p>
        </w:tc>
        <w:tc>
          <w:tcPr>
            <w:tcW w:w="4852"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Odpoved velja</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32"/>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Naročnik uveljavi finančno zavarovanje za dobro izvedbo pogodbenih obveznosti.</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24"/>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Z dnem unovčenja finančnega zavarovanja.</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32"/>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Neutemeljena zavrnitev naročila s strani izvajalca, odstopanje od naročenega načina dobave ali nekvalitetno oziroma nepravilno opravljena storitev.</w:t>
            </w:r>
          </w:p>
        </w:tc>
        <w:tc>
          <w:tcPr>
            <w:tcW w:w="4852" w:type="dxa"/>
            <w:vMerge w:val="restart"/>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Ad 2, 3, 4) Z dnem, ko izvajalec prejme obvestilo o odpovedi pogodbe.</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32"/>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Dosežek maksimalne višine pogodbene kazni za pogodbeno fazo.</w:t>
            </w:r>
          </w:p>
        </w:tc>
        <w:tc>
          <w:tcPr>
            <w:tcW w:w="4852" w:type="dxa"/>
            <w:vMerge/>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32"/>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V primerih določenih v 96. členu ZJN-3.</w:t>
            </w:r>
          </w:p>
        </w:tc>
        <w:tc>
          <w:tcPr>
            <w:tcW w:w="4852" w:type="dxa"/>
            <w:vMerge/>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32"/>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8"/>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Z dnem pravnomočnosti novega javnega naročila.</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32"/>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Če naročnik ne poravna zapadlih obveznosti.</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8"/>
              </w:numPr>
              <w:ind w:left="284" w:hanging="284"/>
              <w:spacing w:after="0" w:line="240" w:lineRule="auto"/>
              <w:jc w:val="both"/>
              <w:widowControl w:val="0"/>
              <w:rPr>
                <w:rFonts w:ascii="Verdana" w:hAnsi="Verdana"/>
                <w:sz w:val="20"/>
                <w:szCs w:val="20"/>
                <w:lang w:val="sl-si"/>
              </w:rPr>
            </w:pPr>
            <w:r>
              <w:rPr>
                <w:rFonts w:ascii="Verdana" w:hAnsi="Verdana"/>
                <w:sz w:val="20"/>
                <w:szCs w:val="20"/>
                <w:lang w:val="sl-si"/>
              </w:rPr>
              <w:t>Po preteku 30 dni od obvestila naročniku.</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pStyle w:val="para36"/>
              <w:numPr>
                <w:ilvl w:val="0"/>
                <w:numId w:val="32"/>
              </w:numPr>
              <w:ind w:left="284" w:hanging="284"/>
              <w:spacing w:after="0" w:line="240" w:lineRule="auto"/>
              <w:jc w:val="both"/>
              <w:widowControl w:val="0"/>
              <w:tabs defTabSz="720">
                <w:tab w:val="left" w:pos="364" w:leader="none"/>
              </w:tabs>
              <w:rPr>
                <w:rFonts w:ascii="Verdana" w:hAnsi="Verdana"/>
                <w:sz w:val="20"/>
                <w:szCs w:val="20"/>
                <w:lang w:val="sl-si"/>
              </w:rPr>
            </w:pPr>
            <w:r>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zapadle obveznosti iz te pogodbe in nastalo škodo.</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8"/>
              </w:numPr>
              <w:ind w:left="284" w:hanging="284"/>
              <w:spacing w:after="0" w:line="240" w:lineRule="auto"/>
              <w:jc w:val="both"/>
              <w:widowControl w:val="0"/>
              <w:tabs defTabSz="720">
                <w:tab w:val="left" w:pos="368" w:leader="none"/>
              </w:tabs>
              <w:rPr>
                <w:rFonts w:ascii="Verdana" w:hAnsi="Verdana"/>
                <w:sz w:val="20"/>
                <w:szCs w:val="20"/>
                <w:lang w:val="sl-si"/>
              </w:rPr>
            </w:pPr>
            <w:r>
              <w:rPr>
                <w:rFonts w:ascii="Verdana" w:hAnsi="Verdana"/>
                <w:sz w:val="20"/>
                <w:szCs w:val="20"/>
                <w:lang w:val="sl-si"/>
              </w:rPr>
              <w:t>Z dnem, ko nasprotna stranka prejme obvestilo o odpovedi pogodbe.</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pStyle w:val="para36"/>
              <w:numPr>
                <w:ilvl w:val="0"/>
                <w:numId w:val="32"/>
              </w:numPr>
              <w:ind w:left="284" w:hanging="284"/>
              <w:spacing w:after="0" w:line="240" w:lineRule="auto"/>
              <w:jc w:val="both"/>
              <w:widowControl w:val="0"/>
              <w:tabs defTabSz="720">
                <w:tab w:val="left" w:pos="364" w:leader="none"/>
              </w:tabs>
              <w:rPr>
                <w:rFonts w:ascii="Verdana" w:hAnsi="Verdana"/>
                <w:sz w:val="20"/>
                <w:szCs w:val="20"/>
                <w:lang w:val="sl-si"/>
              </w:rPr>
            </w:pPr>
            <w:r>
              <w:rPr>
                <w:rFonts w:ascii="Verdana" w:hAnsi="Verdana"/>
                <w:sz w:val="20"/>
                <w:szCs w:val="20"/>
                <w:lang w:val="sl-si"/>
              </w:rPr>
              <w:t>Po preteku 4. let lahko naročnik z obvestilom izvajalcu odstopi od pogodbe.</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8"/>
              </w:numPr>
              <w:ind w:left="284" w:hanging="284"/>
              <w:spacing w:after="0" w:line="240" w:lineRule="auto"/>
              <w:jc w:val="both"/>
              <w:widowControl w:val="0"/>
              <w:tabs defTabSz="720">
                <w:tab w:val="left" w:pos="368" w:leader="none"/>
              </w:tabs>
              <w:rPr>
                <w:rFonts w:ascii="Verdana" w:hAnsi="Verdana"/>
                <w:sz w:val="20"/>
                <w:szCs w:val="20"/>
                <w:lang w:val="sl-si"/>
              </w:rPr>
            </w:pPr>
            <w:r>
              <w:rPr>
                <w:rFonts w:ascii="Verdana" w:hAnsi="Verdana"/>
                <w:sz w:val="20"/>
                <w:szCs w:val="20"/>
                <w:lang w:val="sl-si"/>
              </w:rPr>
              <w:t>3 mesece od obvestila naročnika.</w:t>
            </w:r>
          </w:p>
        </w:tc>
      </w:tr>
      <w:tr>
        <w:trPr>
          <w:tblHeader w:val="0"/>
          <w:cantSplit w:val="0"/>
          <w:trHeight w:val="20" w:hRule="atLeast"/>
        </w:trPr>
        <w:tc>
          <w:tcPr>
            <w:tcW w:w="478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pStyle w:val="para36"/>
              <w:numPr>
                <w:ilvl w:val="0"/>
                <w:numId w:val="32"/>
              </w:numPr>
              <w:ind w:left="284" w:hanging="284"/>
              <w:spacing w:after="0" w:line="240" w:lineRule="auto"/>
              <w:jc w:val="both"/>
              <w:widowControl w:val="0"/>
              <w:tabs defTabSz="720">
                <w:tab w:val="left" w:pos="364" w:leader="none"/>
              </w:tabs>
              <w:rPr>
                <w:rFonts w:ascii="Verdana" w:hAnsi="Verdana"/>
                <w:sz w:val="20"/>
                <w:szCs w:val="20"/>
                <w:lang w:val="sl-si"/>
              </w:rPr>
            </w:pPr>
            <w:r>
              <w:rPr>
                <w:rFonts w:ascii="Verdana" w:hAnsi="Verdana"/>
                <w:sz w:val="20"/>
                <w:szCs w:val="20"/>
                <w:lang w:val="sl-si"/>
              </w:rPr>
              <w:t xml:space="preserve">Dogovorno med obema strankama. </w:t>
            </w:r>
          </w:p>
        </w:tc>
        <w:tc>
          <w:tcPr>
            <w:tcW w:w="4852"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8"/>
              </w:numPr>
              <w:ind w:left="284" w:hanging="284"/>
              <w:spacing w:after="0" w:line="240" w:lineRule="auto"/>
              <w:jc w:val="both"/>
              <w:widowControl w:val="0"/>
              <w:tabs defTabSz="720">
                <w:tab w:val="left" w:pos="85" w:leader="none"/>
                <w:tab w:val="left" w:pos="368" w:leader="none"/>
              </w:tabs>
              <w:rPr>
                <w:rFonts w:ascii="Verdana" w:hAnsi="Verdana"/>
                <w:sz w:val="20"/>
                <w:szCs w:val="20"/>
                <w:lang w:val="sl-si"/>
              </w:rPr>
            </w:pPr>
            <w:r>
              <w:rPr>
                <w:rFonts w:ascii="Verdana" w:hAnsi="Verdana"/>
                <w:sz w:val="20"/>
                <w:szCs w:val="20"/>
                <w:lang w:val="sl-si"/>
              </w:rPr>
              <w:t>Po poravnavi medsebojnih obveznosti iz pogodbe.</w:t>
            </w:r>
          </w:p>
        </w:tc>
      </w:tr>
    </w:tbl>
    <w:p>
      <w:pPr>
        <w:spacing w:after="0" w:line="240" w:lineRule="auto"/>
        <w:jc w:val="both"/>
        <w:widowControl w:val="0"/>
        <w:rPr>
          <w:rFonts w:ascii="Verdana" w:hAnsi="Verdana"/>
          <w:sz w:val="20"/>
          <w:szCs w:val="28"/>
          <w:lang w:val="sl-si"/>
        </w:rPr>
      </w:pPr>
      <w:r>
        <w:rPr>
          <w:rFonts w:ascii="Verdana" w:hAnsi="Verdana"/>
          <w:sz w:val="20"/>
          <w:szCs w:val="28"/>
          <w:lang w:val="sl-si"/>
        </w:rPr>
      </w:r>
    </w:p>
    <w:tbl>
      <w:tblPr>
        <w:tblStyle w:val="TableNormal"/>
        <w:name w:val="Table16"/>
        <w:tabOrder w:val="0"/>
        <w:jc w:val="center"/>
        <w:tblInd w:w="0" w:type="dxa"/>
        <w:tblW w:w="9638" w:type="dxa"/>
        <w:tblLook w:val="04A0" w:firstRow="1" w:lastRow="0" w:firstColumn="1" w:lastColumn="0" w:noHBand="0" w:noVBand="1"/>
      </w:tblPr>
      <w:tblGrid>
        <w:gridCol w:w="2391"/>
        <w:gridCol w:w="7247"/>
      </w:tblGrid>
      <w:tr>
        <w:trPr>
          <w:tblHeader w:val="0"/>
          <w:cantSplit w:val="0"/>
          <w:trHeight w:val="20" w:hRule="atLeast"/>
        </w:trPr>
        <w:tc>
          <w:tcPr>
            <w:tcW w:w="9638" w:type="dxa"/>
            <w:gridSpan w:val="2"/>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center"/>
              <w:widowControl w:val="0"/>
              <w:rPr>
                <w:rFonts w:ascii="Verdana" w:hAnsi="Verdana"/>
                <w:b/>
                <w:sz w:val="20"/>
                <w:szCs w:val="20"/>
                <w:lang w:val="sl-si"/>
              </w:rPr>
            </w:pPr>
            <w:r>
              <w:rPr>
                <w:rFonts w:ascii="Verdana" w:hAnsi="Verdana"/>
                <w:b/>
                <w:sz w:val="20"/>
                <w:szCs w:val="20"/>
                <w:lang w:val="sl-si"/>
              </w:rPr>
              <w:t>PRILOGE POGODBE</w:t>
            </w:r>
          </w:p>
        </w:tc>
      </w:tr>
      <w:tr>
        <w:trPr>
          <w:tblHeader w:val="0"/>
          <w:cantSplit w:val="0"/>
          <w:trHeight w:val="20" w:hRule="atLeast"/>
        </w:trPr>
        <w:tc>
          <w:tcPr>
            <w:tcW w:w="2391"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18"/>
              </w:numPr>
              <w:ind w:left="284" w:hanging="284"/>
              <w:spacing w:after="0" w:line="240" w:lineRule="auto"/>
              <w:jc w:val="center"/>
              <w:widowControl w:val="0"/>
              <w:rPr>
                <w:rFonts w:ascii="Verdana" w:hAnsi="Verdana"/>
                <w:sz w:val="20"/>
                <w:szCs w:val="20"/>
                <w:lang w:val="sl-si"/>
              </w:rPr>
            </w:pPr>
            <w:r>
              <w:rPr>
                <w:rFonts w:ascii="Verdana" w:hAnsi="Verdana"/>
                <w:sz w:val="20"/>
                <w:szCs w:val="20"/>
                <w:lang w:val="sl-si"/>
              </w:rPr>
              <w:t>del</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Obrazec ePRO – Specifikacije</w:t>
            </w:r>
          </w:p>
        </w:tc>
      </w:tr>
      <w:tr>
        <w:trPr>
          <w:tblHeader w:val="0"/>
          <w:cantSplit w:val="0"/>
          <w:trHeight w:val="20" w:hRule="atLeast"/>
        </w:trPr>
        <w:tc>
          <w:tcPr>
            <w:tcW w:w="2391"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18"/>
              </w:numPr>
              <w:ind w:left="284" w:hanging="284"/>
              <w:spacing w:after="0" w:line="240" w:lineRule="auto"/>
              <w:jc w:val="center"/>
              <w:widowControl w:val="0"/>
              <w:rPr>
                <w:rFonts w:ascii="Verdana" w:hAnsi="Verdana"/>
                <w:sz w:val="20"/>
                <w:szCs w:val="20"/>
                <w:lang w:val="sl-si"/>
              </w:rPr>
            </w:pPr>
            <w:r>
              <w:rPr>
                <w:rFonts w:ascii="Verdana" w:hAnsi="Verdana"/>
                <w:sz w:val="20"/>
                <w:szCs w:val="20"/>
                <w:lang w:val="sl-si"/>
              </w:rPr>
              <w:t>del</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Tehnična dokumentacija</w:t>
            </w:r>
          </w:p>
        </w:tc>
      </w:tr>
      <w:tr>
        <w:trPr>
          <w:tblHeader w:val="0"/>
          <w:cantSplit w:val="0"/>
          <w:trHeight w:val="20" w:hRule="atLeast"/>
        </w:trPr>
        <w:tc>
          <w:tcPr>
            <w:tcW w:w="2391"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18"/>
              </w:numPr>
              <w:ind w:left="284" w:hanging="284"/>
              <w:spacing w:after="0" w:line="240" w:lineRule="auto"/>
              <w:jc w:val="center"/>
              <w:widowControl w:val="0"/>
              <w:rPr>
                <w:rFonts w:ascii="Verdana" w:hAnsi="Verdana"/>
                <w:sz w:val="20"/>
                <w:szCs w:val="20"/>
                <w:lang w:val="sl-si"/>
              </w:rPr>
            </w:pPr>
            <w:r>
              <w:rPr>
                <w:rFonts w:ascii="Verdana" w:hAnsi="Verdana"/>
                <w:sz w:val="20"/>
                <w:szCs w:val="20"/>
                <w:lang w:val="sl-si"/>
              </w:rPr>
              <w:t>del</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Garancijski dokumenti (Finančno zavarovanje, ki ga v originalu hrani naročnik)</w:t>
            </w:r>
          </w:p>
        </w:tc>
      </w:tr>
      <w:tr>
        <w:trPr>
          <w:tblHeader w:val="0"/>
          <w:cantSplit w:val="0"/>
          <w:trHeight w:val="20" w:hRule="atLeast"/>
        </w:trPr>
        <w:tc>
          <w:tcPr>
            <w:tcW w:w="2391"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numPr>
                <w:ilvl w:val="0"/>
                <w:numId w:val="18"/>
              </w:numPr>
              <w:ind w:left="284" w:hanging="284"/>
              <w:spacing w:after="0" w:line="240" w:lineRule="auto"/>
              <w:jc w:val="center"/>
              <w:widowControl w:val="0"/>
              <w:rPr>
                <w:rFonts w:ascii="Verdana" w:hAnsi="Verdana"/>
                <w:sz w:val="20"/>
                <w:szCs w:val="20"/>
                <w:lang w:val="sl-si"/>
              </w:rPr>
            </w:pPr>
            <w:r>
              <w:rPr>
                <w:rFonts w:ascii="Verdana" w:hAnsi="Verdana"/>
                <w:sz w:val="20"/>
                <w:szCs w:val="20"/>
                <w:lang w:val="sl-si"/>
              </w:rPr>
              <w:t>del</w:t>
            </w:r>
          </w:p>
        </w:tc>
        <w:tc>
          <w:tcPr>
            <w:tcW w:w="7247"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jc w:val="both"/>
              <w:widowControl w:val="0"/>
              <w:rPr>
                <w:rFonts w:ascii="Verdana" w:hAnsi="Verdana"/>
                <w:sz w:val="20"/>
                <w:szCs w:val="20"/>
                <w:lang w:val="sl-si"/>
              </w:rPr>
            </w:pPr>
            <w:r>
              <w:rPr>
                <w:rFonts w:ascii="Verdana" w:hAnsi="Verdana"/>
                <w:sz w:val="20"/>
                <w:szCs w:val="20"/>
                <w:lang w:val="sl-si"/>
              </w:rPr>
              <w:t>SLA pogodba</w:t>
            </w:r>
          </w:p>
        </w:tc>
      </w:tr>
    </w:tbl>
    <w:p>
      <w:pPr>
        <w:spacing w:after="0" w:line="240" w:lineRule="auto"/>
        <w:jc w:val="both"/>
        <w:widowControl w:val="0"/>
        <w:rPr>
          <w:rFonts w:ascii="Verdana" w:hAnsi="Verdana"/>
          <w:sz w:val="20"/>
          <w:szCs w:val="28"/>
          <w:lang w:val="sl-si"/>
        </w:rPr>
      </w:pPr>
      <w:r>
        <w:rPr>
          <w:rFonts w:ascii="Verdana" w:hAnsi="Verdana"/>
          <w:sz w:val="20"/>
          <w:szCs w:val="28"/>
          <w:lang w:val="sl-si"/>
        </w:rPr>
      </w:r>
    </w:p>
    <w:p>
      <w:pPr>
        <w:spacing w:after="0" w:line="240" w:lineRule="auto"/>
        <w:jc w:val="both"/>
        <w:widowControl w:val="0"/>
        <w:rPr>
          <w:rFonts w:ascii="Verdana" w:hAnsi="Verdana"/>
          <w:sz w:val="20"/>
          <w:szCs w:val="20"/>
          <w:lang w:val="sl-si"/>
        </w:rPr>
      </w:pPr>
      <w:r>
        <w:rPr>
          <w:rFonts w:ascii="Verdana" w:hAnsi="Verdana"/>
          <w:sz w:val="20"/>
          <w:szCs w:val="20"/>
          <w:lang w:val="sl-si"/>
        </w:rPr>
      </w:r>
    </w:p>
    <w:tbl>
      <w:tblPr>
        <w:tblStyle w:val="TableNormal"/>
        <w:name w:val="Table17"/>
        <w:tabOrder w:val="0"/>
        <w:jc w:val="center"/>
        <w:tblInd w:w="0" w:type="dxa"/>
        <w:tblW w:w="9637" w:type="dxa"/>
        <w:tblLook w:val="04A0" w:firstRow="1" w:lastRow="0" w:firstColumn="1" w:lastColumn="0" w:noHBand="0" w:noVBand="1"/>
      </w:tblPr>
      <w:tblGrid>
        <w:gridCol w:w="4461"/>
        <w:gridCol w:w="710"/>
        <w:gridCol w:w="4466"/>
      </w:tblGrid>
      <w:tr>
        <w:trPr>
          <w:tblHeader w:val="0"/>
          <w:cantSplit w:val="0"/>
          <w:trHeight w:val="20" w:hRule="atLeast"/>
        </w:trPr>
        <w:tc>
          <w:tcPr>
            <w:tcW w:w="4461"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Naročnik</w:t>
            </w:r>
          </w:p>
        </w:tc>
        <w:tc>
          <w:tcPr>
            <w:tcW w:w="710" w:type="dxa"/>
            <w:vAlign w:val="center"/>
            <w:shd w:val="none"/>
            <w:tcMar>
              <w:top w:w="57" w:type="dxa"/>
              <w:left w:w="57" w:type="dxa"/>
              <w:bottom w:w="57" w:type="dxa"/>
              <w:right w:w="57" w:type="dxa"/>
            </w:tcMar>
            <w:tcBorders>
              <w:left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r>
          </w:p>
        </w:tc>
        <w:tc>
          <w:tcPr>
            <w:tcW w:w="4466" w:type="dxa"/>
            <w:vAlign w:val="center"/>
            <w:shd w:val="solid" w:color="FDB940" tmshd="1677721856, 0, 4241917"/>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b/>
                <w:sz w:val="20"/>
                <w:szCs w:val="20"/>
                <w:lang w:val="sl-si"/>
              </w:rPr>
            </w:pPr>
            <w:r>
              <w:rPr>
                <w:rFonts w:ascii="Verdana" w:hAnsi="Verdana"/>
                <w:b/>
                <w:sz w:val="20"/>
                <w:szCs w:val="20"/>
                <w:lang w:val="sl-si"/>
              </w:rPr>
              <w:t>Ponudnik/Izvajalec</w:t>
            </w:r>
          </w:p>
        </w:tc>
      </w:tr>
      <w:tr>
        <w:trPr>
          <w:tblHeader w:val="0"/>
          <w:cantSplit w:val="0"/>
          <w:trHeight w:val="20" w:hRule="atLeast"/>
        </w:trPr>
        <w:tc>
          <w:tcPr>
            <w:tcW w:w="4461"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Splošna bolnišnica dr. Jožeta Potrča Ptuj</w:t>
            </w:r>
          </w:p>
          <w:p>
            <w:pPr>
              <w:spacing w:after="0" w:line="240" w:lineRule="auto"/>
              <w:widowControl w:val="0"/>
              <w:rPr>
                <w:rFonts w:ascii="Verdana" w:hAnsi="Verdana"/>
                <w:sz w:val="20"/>
                <w:szCs w:val="20"/>
                <w:lang w:val="sl-si"/>
              </w:rPr>
            </w:pPr>
            <w:r>
              <w:rPr>
                <w:rFonts w:ascii="Verdana" w:hAnsi="Verdana"/>
                <w:sz w:val="20"/>
                <w:szCs w:val="20"/>
                <w:lang w:val="sl-si"/>
              </w:rPr>
              <w:t>Potrčeva cesta 23</w:t>
            </w:r>
          </w:p>
          <w:p>
            <w:pPr>
              <w:spacing w:after="0" w:line="240" w:lineRule="auto"/>
              <w:widowControl w:val="0"/>
              <w:rPr>
                <w:rFonts w:ascii="Verdana" w:hAnsi="Verdana"/>
                <w:sz w:val="20"/>
                <w:szCs w:val="20"/>
                <w:lang w:val="sl-si"/>
              </w:rPr>
            </w:pPr>
            <w:r>
              <w:rPr>
                <w:rFonts w:ascii="Verdana" w:hAnsi="Verdana"/>
                <w:sz w:val="20"/>
                <w:szCs w:val="20"/>
                <w:lang w:val="sl-si"/>
              </w:rPr>
              <w:t>2250 Ptuj</w:t>
            </w:r>
          </w:p>
        </w:tc>
        <w:tc>
          <w:tcPr>
            <w:tcW w:w="710" w:type="dxa"/>
            <w:vAlign w:val="center"/>
            <w:shd w:val="none"/>
            <w:tcMar>
              <w:top w:w="57" w:type="dxa"/>
              <w:left w:w="57" w:type="dxa"/>
              <w:bottom w:w="57" w:type="dxa"/>
              <w:right w:w="57" w:type="dxa"/>
            </w:tcMar>
            <w:tcBorders>
              <w:left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4466" w:type="dxa"/>
            <w:vAlign w:val="center"/>
            <w:shd w:val="solid" w:color="FFF0D5" tmshd="1677721856, 0, 14020863"/>
            <w:tcMar>
              <w:top w:w="57" w:type="dxa"/>
              <w:left w:w="57" w:type="dxa"/>
              <w:bottom w:w="57" w:type="dxa"/>
              <w:right w:w="57"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r>
      <w:tr>
        <w:trPr>
          <w:tblHeader w:val="0"/>
          <w:cantSplit w:val="0"/>
          <w:trHeight w:val="20" w:hRule="atLeast"/>
        </w:trPr>
        <w:tc>
          <w:tcPr>
            <w:tcW w:w="4461" w:type="dxa"/>
            <w:vAlign w:val="bottom"/>
            <w:shd w:val="none"/>
            <w:tcMar>
              <w:top w:w="57" w:type="dxa"/>
              <w:left w:w="57" w:type="dxa"/>
              <w:bottom w:w="57" w:type="dxa"/>
              <w:right w:w="57" w:type="dxa"/>
            </w:tcMar>
            <w:tcBorders>
              <w:top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Ptuj, dne</w:t>
            </w:r>
          </w:p>
        </w:tc>
        <w:tc>
          <w:tcPr>
            <w:tcW w:w="710" w:type="dxa"/>
            <w:vAlign w:val="bottom"/>
            <w:shd w:val="none"/>
            <w:tcMar>
              <w:top w:w="57" w:type="dxa"/>
              <w:left w:w="57" w:type="dxa"/>
              <w:bottom w:w="57" w:type="dxa"/>
              <w:right w:w="57" w:type="dxa"/>
            </w:tcMar>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4466" w:type="dxa"/>
            <w:vAlign w:val="bottom"/>
            <w:shd w:val="none"/>
            <w:tcMar>
              <w:top w:w="57" w:type="dxa"/>
              <w:left w:w="57" w:type="dxa"/>
              <w:bottom w:w="57" w:type="dxa"/>
              <w:right w:w="57" w:type="dxa"/>
            </w:tcMar>
            <w:tcBorders>
              <w:top w:val="single" w:sz="4" w:space="0" w:color="000000" tmln="10, 20, 20, 0, 0"/>
            </w:tcBorders>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 xml:space="preserve">                 , dne</w:t>
            </w:r>
          </w:p>
        </w:tc>
      </w:tr>
      <w:tr>
        <w:trPr>
          <w:tblHeader w:val="0"/>
          <w:cantSplit w:val="0"/>
          <w:trHeight w:val="20" w:hRule="atLeast"/>
        </w:trPr>
        <w:tc>
          <w:tcPr>
            <w:tcW w:w="4461" w:type="dxa"/>
            <w:shd w:val="none"/>
            <w:tcMar>
              <w:top w:w="57" w:type="dxa"/>
              <w:left w:w="57" w:type="dxa"/>
              <w:bottom w:w="57" w:type="dxa"/>
              <w:right w:w="57" w:type="dxa"/>
            </w:tcMar>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Podpisnik: Anica Užmah, mag. posl. ved</w:t>
            </w:r>
          </w:p>
        </w:tc>
        <w:tc>
          <w:tcPr>
            <w:tcW w:w="710" w:type="dxa"/>
            <w:shd w:val="none"/>
            <w:tcMar>
              <w:top w:w="57" w:type="dxa"/>
              <w:left w:w="57" w:type="dxa"/>
              <w:bottom w:w="57" w:type="dxa"/>
              <w:right w:w="57" w:type="dxa"/>
            </w:tcMar>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r>
          </w:p>
        </w:tc>
        <w:tc>
          <w:tcPr>
            <w:tcW w:w="4466" w:type="dxa"/>
            <w:shd w:val="none"/>
            <w:tcMar>
              <w:top w:w="57" w:type="dxa"/>
              <w:left w:w="57" w:type="dxa"/>
              <w:bottom w:w="57" w:type="dxa"/>
              <w:right w:w="57" w:type="dxa"/>
            </w:tcMar>
            <w:tmTcPr id="1642504391" protected="0"/>
          </w:tcPr>
          <w:p>
            <w:pPr>
              <w:spacing w:after="0" w:line="240" w:lineRule="auto"/>
              <w:widowControl w:val="0"/>
              <w:rPr>
                <w:rFonts w:ascii="Verdana" w:hAnsi="Verdana"/>
                <w:sz w:val="20"/>
                <w:szCs w:val="20"/>
                <w:lang w:val="sl-si"/>
              </w:rPr>
            </w:pPr>
            <w:r>
              <w:rPr>
                <w:rFonts w:ascii="Verdana" w:hAnsi="Verdana"/>
                <w:sz w:val="20"/>
                <w:szCs w:val="20"/>
                <w:lang w:val="sl-si"/>
              </w:rPr>
              <w:t>Podpisnik:</w:t>
            </w:r>
          </w:p>
        </w:tc>
      </w:tr>
    </w:tbl>
    <w:p>
      <w:pPr>
        <w:spacing w:after="0" w:line="240" w:lineRule="auto"/>
        <w:widowControl w:val="0"/>
        <w:rPr>
          <w:rFonts w:ascii="Verdana" w:hAnsi="Verdana"/>
          <w:sz w:val="20"/>
          <w:szCs w:val="20"/>
          <w:lang w:val="sl-si"/>
        </w:rPr>
      </w:pPr>
      <w:r>
        <w:rPr>
          <w:rFonts w:ascii="Verdana" w:hAnsi="Verdana"/>
          <w:sz w:val="20"/>
          <w:szCs w:val="20"/>
          <w:lang w:val="sl-si"/>
        </w:rPr>
      </w:r>
    </w:p>
    <w:p>
      <w:pPr>
        <w:spacing w:after="0" w:line="240" w:lineRule="auto"/>
        <w:jc w:val="both"/>
        <w:widowControl w:val="0"/>
        <w:rPr>
          <w:rFonts w:ascii="Verdana" w:hAnsi="Verdana"/>
          <w:sz w:val="20"/>
          <w:szCs w:val="28"/>
          <w:lang w:val="sl-si"/>
        </w:rPr>
      </w:pPr>
      <w:r>
        <w:rPr>
          <w:rFonts w:ascii="Verdana" w:hAnsi="Verdana"/>
          <w:sz w:val="20"/>
          <w:szCs w:val="28"/>
          <w:lang w:val="sl-si"/>
        </w:rPr>
      </w:r>
    </w:p>
    <w:sectPr>
      <w:footnotePr>
        <w:pos w:val="pageBottom"/>
        <w:numFmt w:val="decimal"/>
        <w:numStart w:val="1"/>
        <w:numRestart w:val="continuous"/>
      </w:footnotePr>
      <w:endnotePr>
        <w:pos w:val="docEnd"/>
        <w:numFmt w:val="lowerRoman"/>
        <w:numStart w:val="1"/>
        <w:numRestart w:val="continuous"/>
      </w:endnotePr>
      <w:headerReference w:type="default" r:id="rId8"/>
      <w:footerReference w:type="default" r:id="rId9"/>
      <w:type w:val="nextPage"/>
      <w:pgSz w:h="16838" w:w="11906"/>
      <w:pgMar w:left="1134" w:top="1418" w:right="1134" w:bottom="1418" w:header="709" w:footer="709"/>
      <w:paperSrc w:first="0" w:other="0" a="0" b="0"/>
      <w:pgNumType w:fmt="decimal"/>
      <w:tmGutter w:val="3"/>
      <w:mirrorMargins w:val="0"/>
      <w:tmSection w:h="-2">
        <w:tmHeader w:id="0" w:h="0" edge="709" text="0">
          <w:shd w:val="none"/>
        </w:tmHeader>
        <w:tmFooter w:id="0" w:h="0" edge="709"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Verdana">
    <w:charset w:val="ee"/>
    <w:family w:val="swiss"/>
    <w:pitch w:val="default"/>
  </w:font>
  <w:font w:name="Times New Roman">
    <w:charset w:val="ee"/>
    <w:family w:val="roman"/>
    <w:pitch w:val="default"/>
  </w:font>
  <w:font w:name="Symbol">
    <w:charset w:val="02"/>
    <w:family w:val="roman"/>
    <w:pitch w:val="default"/>
  </w:font>
  <w:font w:name="Arial">
    <w:charset w:val="ee"/>
    <w:family w:val="swiss"/>
    <w:pitch w:val="default"/>
  </w:font>
  <w:font w:name="Courier New">
    <w:charset w:val="ee"/>
    <w:family w:val="modern"/>
    <w:pitch w:val="default"/>
  </w:font>
  <w:font w:name="Wingdings">
    <w:charset w:val="02"/>
    <w:family w:val="auto"/>
    <w:pitch w:val="default"/>
  </w:font>
  <w:font w:name="Calibri">
    <w:charset w:val="ee"/>
    <w:family w:val="swiss"/>
    <w:pitch w:val="default"/>
  </w:font>
  <w:font w:name="Segoe UI">
    <w:charset w:val="ee"/>
    <w:family w:val="swiss"/>
    <w:pitch w:val="default"/>
  </w:font>
  <w:font w:name="Liberation Sans">
    <w:charset w:val="01"/>
    <w:family w:val="roman"/>
    <w:pitch w:val="default"/>
  </w:font>
  <w:font w:name="Noto Sans CJK SC">
    <w:charset w:val="00"/>
    <w:family w:val="roman"/>
    <w:pitch w:val="default"/>
  </w:font>
  <w:font w:name="FreeSans">
    <w:charset w:val="00"/>
    <w:family w:val="roman"/>
    <w:pitch w:val="default"/>
  </w:font>
  <w:font w:name="Calibri Ligh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5"/>
      <w:tabOrder w:val="0"/>
      <w:jc w:val="left"/>
      <w:tblInd w:w="0" w:type="dxa"/>
      <w:tblW w:w="9638" w:type="dxa"/>
      <w:tblLook w:val="04A0" w:firstRow="1" w:lastRow="0" w:firstColumn="1" w:lastColumn="0" w:noHBand="0" w:noVBand="1"/>
    </w:tblPr>
    <w:tblGrid>
      <w:gridCol w:w="4832"/>
      <w:gridCol w:w="4806"/>
    </w:tblGrid>
    <w:tr>
      <w:trPr>
        <w:tblHeader w:val="0"/>
        <w:cantSplit w:val="0"/>
        <w:trHeight w:val="0" w:hRule="auto"/>
      </w:trPr>
      <w:tc>
        <w:tcPr>
          <w:tcW w:w="4832" w:type="dxa"/>
          <w:shd w:val="none"/>
          <w:tcBorders>
            <w:top w:val="single" w:sz="4" w:space="0" w:color="000000" tmln="10, 20, 20, 0, 0"/>
          </w:tcBorders>
          <w:tmTcPr id="1642504391" protected="0"/>
        </w:tcPr>
        <w:p>
          <w:pPr>
            <w:pStyle w:val="para35"/>
            <w:spacing w:after="0" w:line="240" w:lineRule="auto"/>
            <w:widowControl w:val="0"/>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r>
            <w:rPr>
              <w:rFonts w:ascii="Verdana" w:hAnsi="Verdana"/>
              <w:i/>
              <w:sz w:val="16"/>
              <w:szCs w:val="16"/>
              <w:vertAlign w:val="superscript"/>
              <w:lang w:val="sl-si"/>
            </w:rPr>
          </w:r>
        </w:p>
      </w:tc>
      <w:tc>
        <w:tcPr>
          <w:tcW w:w="4806" w:type="dxa"/>
          <w:vAlign w:val="center"/>
          <w:shd w:val="none"/>
          <w:tcBorders>
            <w:top w:val="single" w:sz="4" w:space="0" w:color="000000" tmln="10, 20, 20, 0, 0"/>
          </w:tcBorders>
          <w:tmTcPr id="1642504391" protected="0"/>
        </w:tcPr>
        <w:p>
          <w:pPr>
            <w:pStyle w:val="para35"/>
            <w:spacing w:after="0" w:line="240" w:lineRule="auto"/>
            <w:jc w:val="right"/>
            <w:widowControl w:val="0"/>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instrText xml:space="preserve"> PAGE </w:instrText>
            <w:fldChar w:fldCharType="separate"/>
            <w:t>6</w:t>
            <w:fldChar w:fldCharType="end"/>
          </w:r>
          <w:r>
            <w:rPr>
              <w:rFonts w:ascii="Verdana" w:hAnsi="Verdana"/>
              <w:sz w:val="16"/>
              <w:szCs w:val="16"/>
              <w:lang w:val="sl-si"/>
            </w:rPr>
            <w:t>/</w:t>
          </w:r>
          <w:r>
            <w:rPr>
              <w:rFonts w:ascii="Verdana" w:hAnsi="Verdana"/>
              <w:sz w:val="16"/>
              <w:szCs w:val="16"/>
              <w:lang w:val="sl-si"/>
            </w:rPr>
            <w:fldChar w:fldCharType="begin"/>
            <w:instrText xml:space="preserve"> NUMPAGES </w:instrText>
            <w:fldChar w:fldCharType="separate"/>
            <w:t>11</w:t>
            <w:fldChar w:fldCharType="end"/>
          </w:r>
        </w:p>
      </w:tc>
    </w:tr>
  </w:tbl>
  <w:p>
    <w:pPr>
      <w:pStyle w:val="para35"/>
    </w:p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tbl>
    <w:tblPr>
      <w:tblStyle w:val="TableNormal"/>
      <w:name w:val="Table6"/>
      <w:tabOrder w:val="0"/>
      <w:jc w:val="left"/>
      <w:tblInd w:w="0" w:type="dxa"/>
      <w:tblW w:w="9638" w:type="dxa"/>
      <w:tblLook w:val="04A0" w:firstRow="1" w:lastRow="0" w:firstColumn="1" w:lastColumn="0" w:noHBand="0" w:noVBand="1"/>
    </w:tblPr>
    <w:tblGrid>
      <w:gridCol w:w="4779"/>
      <w:gridCol w:w="4859"/>
    </w:tblGrid>
    <w:tr>
      <w:trPr>
        <w:tblHeader w:val="0"/>
        <w:cantSplit w:val="0"/>
        <w:trHeight w:val="0" w:hRule="auto"/>
      </w:trPr>
      <w:tc>
        <w:tcPr>
          <w:tcW w:w="4779" w:type="dxa"/>
          <w:shd w:val="none"/>
          <w:tcBorders>
            <w:bottom w:val="single" w:sz="4" w:space="0" w:color="000000" tmln="10, 20, 20, 0, 0"/>
          </w:tcBorders>
          <w:tmTcPr id="1642504391" protected="0"/>
        </w:tcPr>
        <w:p>
          <w:pPr>
            <w:pStyle w:val="para34"/>
            <w:spacing w:after="0" w:line="240" w:lineRule="auto"/>
            <w:widowControl w:val="0"/>
            <w:rPr>
              <w:rFonts w:ascii="Verdana" w:hAnsi="Verdana"/>
              <w:sz w:val="16"/>
              <w:szCs w:val="16"/>
              <w:lang w:val="sl-si"/>
            </w:rPr>
          </w:pPr>
          <w:r>
            <w:rPr>
              <w:rFonts w:ascii="Verdana" w:hAnsi="Verdana"/>
              <w:sz w:val="16"/>
              <w:szCs w:val="16"/>
              <w:lang w:val="sl-si"/>
            </w:rPr>
            <w:t>ePRO</w:t>
          </w:r>
        </w:p>
      </w:tc>
      <w:tc>
        <w:tcPr>
          <w:tcW w:w="4859" w:type="dxa"/>
          <w:shd w:val="none"/>
          <w:tcBorders>
            <w:bottom w:val="single" w:sz="4" w:space="0" w:color="000000" tmln="10, 20, 20, 0, 0"/>
          </w:tcBorders>
          <w:tmTcPr id="1642504391" protected="0"/>
        </w:tcPr>
        <w:p>
          <w:pPr>
            <w:pStyle w:val="para34"/>
            <w:spacing w:after="0" w:line="240" w:lineRule="auto"/>
            <w:jc w:val="right"/>
            <w:widowControl w:val="0"/>
            <w:rPr>
              <w:rFonts w:ascii="Verdana" w:hAnsi="Verdana"/>
              <w:sz w:val="16"/>
              <w:szCs w:val="16"/>
              <w:lang w:val="sl-si"/>
            </w:rPr>
          </w:pPr>
          <w:r>
            <w:rPr>
              <w:rFonts w:ascii="Verdana" w:hAnsi="Verdana"/>
              <w:sz w:val="16"/>
              <w:szCs w:val="16"/>
              <w:lang w:val="sl-si"/>
            </w:rPr>
            <w:t>Pogodba – končna</w:t>
          </w:r>
        </w:p>
      </w:tc>
    </w:tr>
  </w:tbl>
  <w:p>
    <w:pPr>
      <w:pStyle w:val="para34"/>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bered list 1"/>
    <w:lvl w:ilvl="0">
      <w:start w:val="1"/>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20"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2">
    <w:multiLevelType w:val="hybridMultilevel"/>
    <w:name w:val="Numbered list 2"/>
    <w:lvl w:ilvl="0">
      <w:numFmt w:val="bullet"/>
      <w:suff w:val="tab"/>
      <w:lvlText w:val="–"/>
      <w:lvlJc w:val="left"/>
      <w:pPr>
        <w:ind w:left="360" w:hanging="0"/>
      </w:pPr>
      <w:rPr>
        <w:rFonts w:ascii="Arial" w:hAnsi="Arial" w:cs="Aria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cs="Wingdings"/>
      </w:rPr>
    </w:lvl>
  </w:abstractNum>
  <w:abstractNum w:abstractNumId="3">
    <w:multiLevelType w:val="hybridMultilevel"/>
    <w:name w:val="Numbered list 3"/>
    <w:lvl w:ilvl="0">
      <w:start w:val="2"/>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4">
    <w:multiLevelType w:val="hybridMultilevel"/>
    <w:name w:val="Numbered list 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5">
    <w:multiLevelType w:val="hybridMultilevel"/>
    <w:name w:val="Numbered list 5"/>
    <w:lvl w:ilvl="0">
      <w:start w:val="1"/>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20"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6">
    <w:multiLevelType w:val="hybridMultilevel"/>
    <w:name w:val="Numbered list 6"/>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7">
    <w:multiLevelType w:val="hybridMultilevel"/>
    <w:name w:val="Numbered list 7"/>
    <w:lvl w:ilvl="0">
      <w:numFmt w:val="bullet"/>
      <w:suff w:val="tab"/>
      <w:lvlText w:val="·"/>
      <w:lvlJc w:val="left"/>
      <w:pPr>
        <w:ind w:left="1074" w:hanging="0"/>
      </w:pPr>
      <w:rPr>
        <w:rFonts w:ascii="Symbol" w:hAnsi="Symbol" w:cs="Symbol"/>
      </w:rPr>
    </w:lvl>
    <w:lvl w:ilvl="1">
      <w:numFmt w:val="bullet"/>
      <w:suff w:val="tab"/>
      <w:lvlText w:val="o"/>
      <w:lvlJc w:val="left"/>
      <w:pPr>
        <w:ind w:left="1794" w:hanging="0"/>
      </w:pPr>
      <w:rPr>
        <w:rFonts w:ascii="Courier New" w:hAnsi="Courier New" w:cs="Courier New"/>
      </w:rPr>
    </w:lvl>
    <w:lvl w:ilvl="2">
      <w:numFmt w:val="bullet"/>
      <w:suff w:val="tab"/>
      <w:lvlText w:val=""/>
      <w:lvlJc w:val="left"/>
      <w:pPr>
        <w:ind w:left="2514" w:hanging="0"/>
      </w:pPr>
      <w:rPr>
        <w:rFonts w:ascii="Wingdings" w:hAnsi="Wingdings" w:eastAsia="Wingdings" w:cs="Wingdings"/>
      </w:rPr>
    </w:lvl>
    <w:lvl w:ilvl="3">
      <w:numFmt w:val="bullet"/>
      <w:suff w:val="tab"/>
      <w:lvlText w:val="·"/>
      <w:lvlJc w:val="left"/>
      <w:pPr>
        <w:ind w:left="3234" w:hanging="0"/>
      </w:pPr>
      <w:rPr>
        <w:rFonts w:ascii="Symbol" w:hAnsi="Symbol" w:cs="Symbol"/>
      </w:rPr>
    </w:lvl>
    <w:lvl w:ilvl="4">
      <w:numFmt w:val="bullet"/>
      <w:suff w:val="tab"/>
      <w:lvlText w:val="o"/>
      <w:lvlJc w:val="left"/>
      <w:pPr>
        <w:ind w:left="3954" w:hanging="0"/>
      </w:pPr>
      <w:rPr>
        <w:rFonts w:ascii="Courier New" w:hAnsi="Courier New" w:cs="Courier New"/>
      </w:rPr>
    </w:lvl>
    <w:lvl w:ilvl="5">
      <w:numFmt w:val="bullet"/>
      <w:suff w:val="tab"/>
      <w:lvlText w:val=""/>
      <w:lvlJc w:val="left"/>
      <w:pPr>
        <w:ind w:left="4674" w:hanging="0"/>
      </w:pPr>
      <w:rPr>
        <w:rFonts w:ascii="Wingdings" w:hAnsi="Wingdings" w:eastAsia="Wingdings" w:cs="Wingdings"/>
      </w:rPr>
    </w:lvl>
    <w:lvl w:ilvl="6">
      <w:numFmt w:val="bullet"/>
      <w:suff w:val="tab"/>
      <w:lvlText w:val="·"/>
      <w:lvlJc w:val="left"/>
      <w:pPr>
        <w:ind w:left="5394" w:hanging="0"/>
      </w:pPr>
      <w:rPr>
        <w:rFonts w:ascii="Symbol" w:hAnsi="Symbol" w:cs="Symbol"/>
      </w:rPr>
    </w:lvl>
    <w:lvl w:ilvl="7">
      <w:numFmt w:val="bullet"/>
      <w:suff w:val="tab"/>
      <w:lvlText w:val="o"/>
      <w:lvlJc w:val="left"/>
      <w:pPr>
        <w:ind w:left="6114" w:hanging="0"/>
      </w:pPr>
      <w:rPr>
        <w:rFonts w:ascii="Courier New" w:hAnsi="Courier New" w:cs="Courier New"/>
      </w:rPr>
    </w:lvl>
    <w:lvl w:ilvl="8">
      <w:numFmt w:val="bullet"/>
      <w:suff w:val="tab"/>
      <w:lvlText w:val=""/>
      <w:lvlJc w:val="left"/>
      <w:pPr>
        <w:ind w:left="6834" w:hanging="0"/>
      </w:pPr>
      <w:rPr>
        <w:rFonts w:ascii="Wingdings" w:hAnsi="Wingdings" w:eastAsia="Wingdings" w:cs="Wingdings"/>
      </w:rPr>
    </w:lvl>
  </w:abstractNum>
  <w:abstractNum w:abstractNumId="8">
    <w:multiLevelType w:val="hybridMultilevel"/>
    <w:name w:val="Numbered list 8"/>
    <w:lvl w:ilvl="0">
      <w:start w:val="5"/>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9">
    <w:multiLevelType w:val="hybridMultilevel"/>
    <w:name w:val="Numbered list 9"/>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0">
    <w:multiLevelType w:val="hybridMultilevel"/>
    <w:name w:val="Numbered list 10"/>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1">
    <w:multiLevelType w:val="hybridMultilevel"/>
    <w:name w:val="Numbered list 11"/>
    <w:lvl w:ilvl="0">
      <w:numFmt w:val="bullet"/>
      <w:suff w:val="tab"/>
      <w:lvlText w:val="·"/>
      <w:lvlJc w:val="left"/>
      <w:pPr>
        <w:ind w:left="1080" w:hanging="0"/>
      </w:pPr>
      <w:rPr>
        <w:rFonts w:ascii="Symbol" w:hAnsi="Symbol" w:cs="Symbol"/>
      </w:rPr>
    </w:lvl>
    <w:lvl w:ilvl="1">
      <w:numFmt w:val="bullet"/>
      <w:suff w:val="tab"/>
      <w:lvlText w:val="o"/>
      <w:lvlJc w:val="left"/>
      <w:pPr>
        <w:ind w:left="1800" w:hanging="0"/>
      </w:pPr>
      <w:rPr>
        <w:rFonts w:ascii="Courier New" w:hAnsi="Courier New" w:cs="Courier New"/>
      </w:rPr>
    </w:lvl>
    <w:lvl w:ilvl="2">
      <w:numFmt w:val="bullet"/>
      <w:suff w:val="tab"/>
      <w:lvlText w:val=""/>
      <w:lvlJc w:val="left"/>
      <w:pPr>
        <w:ind w:left="2520" w:hanging="0"/>
      </w:pPr>
      <w:rPr>
        <w:rFonts w:ascii="Wingdings" w:hAnsi="Wingdings" w:eastAsia="Wingdings" w:cs="Wingdings"/>
      </w:rPr>
    </w:lvl>
    <w:lvl w:ilvl="3">
      <w:numFmt w:val="bullet"/>
      <w:suff w:val="tab"/>
      <w:lvlText w:val="·"/>
      <w:lvlJc w:val="left"/>
      <w:pPr>
        <w:ind w:left="3240" w:hanging="0"/>
      </w:pPr>
      <w:rPr>
        <w:rFonts w:ascii="Symbol" w:hAnsi="Symbol" w:cs="Symbol"/>
      </w:rPr>
    </w:lvl>
    <w:lvl w:ilvl="4">
      <w:numFmt w:val="bullet"/>
      <w:suff w:val="tab"/>
      <w:lvlText w:val="o"/>
      <w:lvlJc w:val="left"/>
      <w:pPr>
        <w:ind w:left="3960" w:hanging="0"/>
      </w:pPr>
      <w:rPr>
        <w:rFonts w:ascii="Courier New" w:hAnsi="Courier New" w:cs="Courier New"/>
      </w:rPr>
    </w:lvl>
    <w:lvl w:ilvl="5">
      <w:numFmt w:val="bullet"/>
      <w:suff w:val="tab"/>
      <w:lvlText w:val=""/>
      <w:lvlJc w:val="left"/>
      <w:pPr>
        <w:ind w:left="4680" w:hanging="0"/>
      </w:pPr>
      <w:rPr>
        <w:rFonts w:ascii="Wingdings" w:hAnsi="Wingdings" w:eastAsia="Wingdings" w:cs="Wingdings"/>
      </w:rPr>
    </w:lvl>
    <w:lvl w:ilvl="6">
      <w:numFmt w:val="bullet"/>
      <w:suff w:val="tab"/>
      <w:lvlText w:val="·"/>
      <w:lvlJc w:val="left"/>
      <w:pPr>
        <w:ind w:left="5400" w:hanging="0"/>
      </w:pPr>
      <w:rPr>
        <w:rFonts w:ascii="Symbol" w:hAnsi="Symbol" w:cs="Symbol"/>
      </w:rPr>
    </w:lvl>
    <w:lvl w:ilvl="7">
      <w:numFmt w:val="bullet"/>
      <w:suff w:val="tab"/>
      <w:lvlText w:val="o"/>
      <w:lvlJc w:val="left"/>
      <w:pPr>
        <w:ind w:left="6120" w:hanging="0"/>
      </w:pPr>
      <w:rPr>
        <w:rFonts w:ascii="Courier New" w:hAnsi="Courier New" w:cs="Courier New"/>
      </w:rPr>
    </w:lvl>
    <w:lvl w:ilvl="8">
      <w:numFmt w:val="bullet"/>
      <w:suff w:val="tab"/>
      <w:lvlText w:val=""/>
      <w:lvlJc w:val="left"/>
      <w:pPr>
        <w:ind w:left="6840" w:hanging="0"/>
      </w:pPr>
      <w:rPr>
        <w:rFonts w:ascii="Wingdings" w:hAnsi="Wingdings" w:eastAsia="Wingdings" w:cs="Wingdings"/>
      </w:rPr>
    </w:lvl>
  </w:abstractNum>
  <w:abstractNum w:abstractNumId="12">
    <w:multiLevelType w:val="hybridMultilevel"/>
    <w:name w:val="Numbered list 12"/>
    <w:lvl w:ilvl="0">
      <w:start w:val="1"/>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20"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13">
    <w:multiLevelType w:val="hybridMultilevel"/>
    <w:name w:val="Numbered list 13"/>
    <w:lvl w:ilvl="0">
      <w:start w:val="6"/>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14"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14">
    <w:multiLevelType w:val="hybridMultilevel"/>
    <w:name w:val="Numbered list 14"/>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5">
    <w:multiLevelType w:val="hybridMultilevel"/>
    <w:name w:val="Numbered list 15"/>
    <w:lvl w:ilvl="0">
      <w:numFmt w:val="bullet"/>
      <w:suff w:val="tab"/>
      <w:lvlText w:val="–"/>
      <w:lvlJc w:val="left"/>
      <w:pPr>
        <w:ind w:left="360" w:hanging="0"/>
      </w:pPr>
      <w:rPr>
        <w:rFonts w:ascii="Arial" w:hAnsi="Arial" w:cs="Aria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cs="Wingdings"/>
      </w:rPr>
    </w:lvl>
  </w:abstractNum>
  <w:abstractNum w:abstractNumId="16">
    <w:multiLevelType w:val="hybridMultilevel"/>
    <w:name w:val="Numbered list 16"/>
    <w:lvl w:ilvl="0">
      <w:start w:val="6"/>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20"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17">
    <w:multiLevelType w:val="hybridMultilevel"/>
    <w:name w:val="Numbered list 17"/>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8">
    <w:multiLevelType w:val="hybridMultilevel"/>
    <w:name w:val="Numbered list 18"/>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9">
    <w:multiLevelType w:val="hybridMultilevel"/>
    <w:name w:val="Numbered list 19"/>
    <w:lvl w:ilvl="0">
      <w:numFmt w:val="bullet"/>
      <w:suff w:val="tab"/>
      <w:lvlText w:val="-"/>
      <w:lvlJc w:val="left"/>
      <w:pPr>
        <w:ind w:left="1080" w:hanging="0"/>
      </w:pPr>
      <w:rPr>
        <w:rFonts w:ascii="Verdana" w:hAnsi="Verdana" w:cs="Verdana"/>
      </w:rPr>
    </w:lvl>
    <w:lvl w:ilvl="1">
      <w:start w:val="1"/>
      <w:numFmt w:val="lowerLetter"/>
      <w:suff w:val="tab"/>
      <w:lvlText w:val="%2."/>
      <w:lvlJc w:val="left"/>
      <w:pPr>
        <w:ind w:left="1800" w:hanging="0"/>
      </w:pPr>
    </w:lvl>
    <w:lvl w:ilvl="2">
      <w:start w:val="1"/>
      <w:numFmt w:val="lowerRoman"/>
      <w:suff w:val="tab"/>
      <w:lvlText w:val="%3."/>
      <w:lvlJc w:val="left"/>
      <w:pPr>
        <w:ind w:left="2700" w:hanging="0"/>
      </w:pPr>
    </w:lvl>
    <w:lvl w:ilvl="3">
      <w:start w:val="1"/>
      <w:numFmt w:val="decimal"/>
      <w:suff w:val="tab"/>
      <w:lvlText w:val="%4."/>
      <w:lvlJc w:val="left"/>
      <w:pPr>
        <w:ind w:left="3240" w:hanging="0"/>
      </w:pPr>
    </w:lvl>
    <w:lvl w:ilvl="4">
      <w:start w:val="1"/>
      <w:numFmt w:val="lowerLetter"/>
      <w:suff w:val="tab"/>
      <w:lvlText w:val="%5."/>
      <w:lvlJc w:val="left"/>
      <w:pPr>
        <w:ind w:left="3960" w:hanging="0"/>
      </w:pPr>
    </w:lvl>
    <w:lvl w:ilvl="5">
      <w:start w:val="1"/>
      <w:numFmt w:val="lowerRoman"/>
      <w:suff w:val="tab"/>
      <w:lvlText w:val="%6."/>
      <w:lvlJc w:val="left"/>
      <w:pPr>
        <w:ind w:left="4860" w:hanging="0"/>
      </w:pPr>
    </w:lvl>
    <w:lvl w:ilvl="6">
      <w:start w:val="1"/>
      <w:numFmt w:val="decimal"/>
      <w:suff w:val="tab"/>
      <w:lvlText w:val="%7."/>
      <w:lvlJc w:val="left"/>
      <w:pPr>
        <w:ind w:left="5400" w:hanging="0"/>
      </w:pPr>
    </w:lvl>
    <w:lvl w:ilvl="7">
      <w:start w:val="1"/>
      <w:numFmt w:val="lowerLetter"/>
      <w:suff w:val="tab"/>
      <w:lvlText w:val="%8."/>
      <w:lvlJc w:val="left"/>
      <w:pPr>
        <w:ind w:left="6120" w:hanging="0"/>
      </w:pPr>
    </w:lvl>
    <w:lvl w:ilvl="8">
      <w:start w:val="1"/>
      <w:numFmt w:val="lowerRoman"/>
      <w:suff w:val="tab"/>
      <w:lvlText w:val="%9."/>
      <w:lvlJc w:val="left"/>
      <w:pPr>
        <w:ind w:left="7020" w:hanging="0"/>
      </w:pPr>
    </w:lvl>
  </w:abstractNum>
  <w:abstractNum w:abstractNumId="20">
    <w:multiLevelType w:val="hybridMultilevel"/>
    <w:name w:val="Numbered list 20"/>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1">
    <w:multiLevelType w:val="hybridMultilevel"/>
    <w:name w:val="Numbered list 21"/>
    <w:lvl w:ilvl="0">
      <w:start w:val="6"/>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14"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22">
    <w:multiLevelType w:val="hybridMultilevel"/>
    <w:name w:val="Numbered list 2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3">
    <w:multiLevelType w:val="hybridMultilevel"/>
    <w:name w:val="Numbered list 2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4">
    <w:multiLevelType w:val="hybridMultilevel"/>
    <w:name w:val="Numbered list 24"/>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5">
    <w:multiLevelType w:val="hybridMultilevel"/>
    <w:name w:val="Numbered list 25"/>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6">
    <w:multiLevelType w:val="hybridMultilevel"/>
    <w:name w:val="Numbered list 26"/>
    <w:lvl w:ilvl="0">
      <w:start w:val="6"/>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14"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27">
    <w:multiLevelType w:val="hybridMultilevel"/>
    <w:name w:val="Numbered list 27"/>
    <w:lvl w:ilvl="0">
      <w:numFmt w:val="bullet"/>
      <w:suff w:val="tab"/>
      <w:lvlText w:val="–"/>
      <w:lvlJc w:val="left"/>
      <w:pPr>
        <w:ind w:left="360" w:hanging="0"/>
      </w:pPr>
      <w:rPr>
        <w:rFonts w:ascii="Arial" w:hAnsi="Arial" w:cs="Aria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cs="Wingdings"/>
      </w:rPr>
    </w:lvl>
    <w:lvl w:ilvl="3">
      <w:numFmt w:val="bullet"/>
      <w:suff w:val="tab"/>
      <w:lvlText w:val="·"/>
      <w:lvlJc w:val="left"/>
      <w:pPr>
        <w:ind w:left="2520" w:hanging="0"/>
      </w:pPr>
      <w:rPr>
        <w:rFonts w:ascii="Symbol" w:hAnsi="Symbol" w:cs="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cs="Wingdings"/>
      </w:rPr>
    </w:lvl>
    <w:lvl w:ilvl="6">
      <w:numFmt w:val="bullet"/>
      <w:suff w:val="tab"/>
      <w:lvlText w:val="·"/>
      <w:lvlJc w:val="left"/>
      <w:pPr>
        <w:ind w:left="4680" w:hanging="0"/>
      </w:pPr>
      <w:rPr>
        <w:rFonts w:ascii="Symbol" w:hAnsi="Symbol" w:cs="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cs="Wingdings"/>
      </w:rPr>
    </w:lvl>
  </w:abstractNum>
  <w:abstractNum w:abstractNumId="28">
    <w:multiLevelType w:val="hybridMultilevel"/>
    <w:name w:val="Numbered list 28"/>
    <w:lvl w:ilvl="0">
      <w:start w:val="6"/>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20"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29">
    <w:multiLevelType w:val="hybridMultilevel"/>
    <w:name w:val="Numbered list 29"/>
    <w:lvl w:ilvl="0">
      <w:start w:val="2"/>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0">
    <w:multiLevelType w:val="hybridMultilevel"/>
    <w:name w:val="Numbered list 30"/>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1">
    <w:multiLevelType w:val="hybridMultilevel"/>
    <w:name w:val="Numbered list 31"/>
    <w:lvl w:ilvl="0">
      <w:start w:val="6"/>
      <w:numFmt w:val="decimal"/>
      <w:suff w:val="tab"/>
      <w:lvlText w:val="%1."/>
      <w:lvlJc w:val="left"/>
      <w:pPr>
        <w:ind w:left="0" w:hanging="0"/>
      </w:pPr>
    </w:lvl>
    <w:lvl w:ilvl="1">
      <w:start w:val="1"/>
      <w:numFmt w:val="lowerLetter"/>
      <w:suff w:val="tab"/>
      <w:lvlText w:val="%1%2."/>
      <w:lvlJc w:val="left"/>
      <w:pPr>
        <w:ind w:left="0" w:hanging="0"/>
      </w:pPr>
      <w:rPr>
        <w:rFonts w:ascii="Verdana" w:hAnsi="Verdana"/>
        <w:b w:val="0"/>
        <w:i/>
        <w:sz w:val="20"/>
      </w:rPr>
    </w:lvl>
    <w:lvl w:ilvl="2">
      <w:start w:val="1"/>
      <w:numFmt w:val="decimal"/>
      <w:suff w:val="tab"/>
      <w:lvlText w:val="%3)"/>
      <w:lvlJc w:val="left"/>
      <w:pPr>
        <w:ind w:left="357" w:hanging="0"/>
      </w:pPr>
    </w:lvl>
    <w:lvl w:ilvl="3">
      <w:numFmt w:val="bullet"/>
      <w:suff w:val="tab"/>
      <w:lvlText w:val="·"/>
      <w:lvlJc w:val="left"/>
      <w:pPr>
        <w:ind w:left="720" w:hanging="0"/>
      </w:pPr>
      <w:rPr>
        <w:rFonts w:ascii="Symbol" w:hAnsi="Symbol" w:cs="Symbol"/>
      </w:rPr>
    </w:lvl>
    <w:lvl w:ilvl="4">
      <w:start w:val="1"/>
      <w:numFmt w:val="lowerLetter"/>
      <w:suff w:val="tab"/>
      <w:lvlText w:val="(%5)"/>
      <w:lvlJc w:val="left"/>
      <w:pPr>
        <w:ind w:left="1440" w:hanging="0"/>
      </w:pPr>
    </w:lvl>
    <w:lvl w:ilvl="5">
      <w:start w:val="1"/>
      <w:numFmt w:val="lowerRoman"/>
      <w:suff w:val="tab"/>
      <w:lvlText w:val="(%6)"/>
      <w:lvlJc w:val="left"/>
      <w:pPr>
        <w:ind w:left="1800" w:hanging="0"/>
      </w:pPr>
    </w:lvl>
    <w:lvl w:ilvl="6">
      <w:start w:val="1"/>
      <w:numFmt w:val="decimal"/>
      <w:suff w:val="tab"/>
      <w:lvlText w:val="%7."/>
      <w:lvlJc w:val="left"/>
      <w:pPr>
        <w:ind w:left="2160" w:hanging="0"/>
      </w:pPr>
    </w:lvl>
    <w:lvl w:ilvl="7">
      <w:start w:val="1"/>
      <w:numFmt w:val="lowerLetter"/>
      <w:suff w:val="tab"/>
      <w:lvlText w:val="%8."/>
      <w:lvlJc w:val="left"/>
      <w:pPr>
        <w:ind w:left="2520" w:hanging="0"/>
      </w:pPr>
    </w:lvl>
    <w:lvl w:ilvl="8">
      <w:start w:val="1"/>
      <w:numFmt w:val="lowerRoman"/>
      <w:suff w:val="tab"/>
      <w:lvlText w:val="%9."/>
      <w:lvlJc w:val="left"/>
      <w:pPr>
        <w:ind w:left="2880" w:hanging="0"/>
      </w:pPr>
    </w:lvl>
  </w:abstractNum>
  <w:abstractNum w:abstractNumId="32">
    <w:multiLevelType w:val="hybridMultilevel"/>
    <w:name w:val="Numbered list 32"/>
    <w:lvl w:ilvl="0">
      <w:start w:val="1"/>
      <w:numFmt w:val="decimal"/>
      <w:suff w:val="tab"/>
      <w:lvlText w:val="%1."/>
      <w:lvlJc w:val="left"/>
      <w:pPr>
        <w:ind w:left="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3">
    <w:multiLevelType w:val="hybridMultilevel"/>
    <w:name w:val="Numbered list 33"/>
    <w:lvl w:ilvl="0">
      <w:start w:val="2"/>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1"/>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3073"/>
    <o:shapelayout v:ext="edit">
      <o:rules v:ext="edit"/>
    </o:shapelayout>
  </w:shapeDefaults>
  <w:tmPrefOne w:val="17"/>
  <w:tmPrefTwo w:val="1"/>
  <w:tmFmtPref w:val="55057515"/>
  <w:tmCommentsPr>
    <w:tmCommentsPlace w:val="0"/>
    <w:tmCommentsWidth w:val="3119"/>
    <w:tmCommentsColor w:val="-1"/>
  </w:tmCommentsPr>
  <w:tmReviewPr>
    <w:tmReviewEnabled w:val="0"/>
    <w:tmReviewShow w:val="1"/>
    <w:tmReviewPrint w:val="0"/>
    <w:tmRevisionNum w:val="153"/>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13"/>
      <w:tmLastPosIdx w:val="80"/>
    </w:tmLastPosCaret>
    <w:tmLastPosAnchor>
      <w:tmLastPosPgfIdx w:val="0"/>
      <w:tmLastPosIdx w:val="0"/>
    </w:tmLastPosAnchor>
    <w:tmLastPosTblRect w:left="0" w:top="0" w:right="0" w:bottom="0"/>
  </w:tmLastPos>
  <w:tmAppRevision w:date="1642504391" w:val="1036" w:fileVer="342" w:fileVer64="64" w:fileVerOS="3"/>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0"/>
        <w:szCs w:val="20"/>
        <w:lang w:val="sl-si" w:eastAsia="sl-si"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sz w:val="22"/>
      <w:szCs w:val="22"/>
      <w:lang w:val="en-us" w:eastAsia="en-us"/>
    </w:rPr>
  </w:style>
  <w:style w:type="paragraph" w:styleId="para1">
    <w:name w:val="heading 1"/>
    <w:qFormat/>
    <w:basedOn w:val="para0"/>
    <w:pPr>
      <w:spacing w:before="480"/>
      <w:keepNext/>
      <w:outlineLvl w:val="0"/>
      <w:keepLines/>
    </w:pPr>
    <w:rPr>
      <w:rFonts w:ascii="Arial" w:hAnsi="Arial" w:eastAsia="Arial" w:cs="Arial"/>
      <w:sz w:val="40"/>
      <w:szCs w:val="40"/>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after="140"/>
    </w:pPr>
  </w:style>
  <w:style w:type="paragraph" w:styleId="para12">
    <w:name w:val="List"/>
    <w:qFormat/>
    <w:basedOn w:val="para11"/>
    <w:rPr>
      <w:rFonts w:cs="FreeSans"/>
    </w:rPr>
  </w:style>
  <w:style w:type="paragraph" w:styleId="para13">
    <w:name w:val="caption"/>
    <w:qFormat/>
    <w:basedOn w:val="para0"/>
    <w:rPr>
      <w:b/>
      <w:bCs/>
      <w:color w:val="5b9bd5"/>
      <w:sz w:val="18"/>
      <w:szCs w:val="18"/>
    </w:rPr>
  </w:style>
  <w:style w:type="paragraph" w:styleId="para14" w:customStyle="1">
    <w:name w:val="Index"/>
    <w:qFormat/>
    <w:basedOn w:val="para0"/>
    <w:pPr>
      <w:suppressLineNumbers/>
    </w:pPr>
    <w:rPr>
      <w:rFonts w:cs="FreeSans"/>
    </w:rPr>
  </w:style>
  <w:style w:type="paragraph" w:styleId="para15">
    <w:name w:val="No Spacing"/>
    <w:qFormat/>
    <w:pPr>
      <w:spacing w:after="0" w:line="240" w:lineRule="auto"/>
    </w:pPr>
    <w:rPr>
      <w:rFonts w:ascii="Calibri" w:hAnsi="Calibri" w:eastAsia="Calibri" w:cs="Times New Roman"/>
      <w:lang w:val="sl-si" w:eastAsia="sl-si" w:bidi="ar-sa"/>
    </w:rPr>
  </w:style>
  <w:style w:type="paragraph" w:styleId="para16">
    <w:name w:val="Title"/>
    <w:qFormat/>
    <w:basedOn w:val="para0"/>
    <w:pPr>
      <w:spacing w:before="300"/>
      <w:contextualSpacing/>
    </w:pPr>
    <w:rPr>
      <w:sz w:val="48"/>
      <w:szCs w:val="48"/>
    </w:rPr>
  </w:style>
  <w:style w:type="paragraph" w:styleId="para17">
    <w:name w:val="Subtitle"/>
    <w:qFormat/>
    <w:basedOn w:val="para0"/>
    <w:pPr>
      <w:spacing w:before="200"/>
    </w:pPr>
    <w:rPr>
      <w:sz w:val="24"/>
      <w:szCs w:val="24"/>
    </w:rPr>
  </w:style>
  <w:style w:type="paragraph" w:styleId="para18">
    <w:name w:val="Quote"/>
    <w:qFormat/>
    <w:basedOn w:val="para0"/>
    <w:pPr>
      <w:ind w:left="720" w:right="720"/>
    </w:pPr>
    <w:rPr>
      <w:i/>
    </w:rPr>
  </w:style>
  <w:style w:type="paragraph" w:styleId="para19">
    <w:name w:val="Intense Quote"/>
    <w:qFormat/>
    <w:basedOn w:val="para0"/>
    <w:pPr>
      <w:ind w:left="720" w:right="720"/>
      <w:spacing w:after="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1677721856, 0, 15921906"/>
    </w:pPr>
    <w:rPr>
      <w:i/>
    </w:rPr>
  </w:style>
  <w:style w:type="paragraph" w:styleId="para20">
    <w:name w:val="Footnote Text"/>
    <w:qFormat/>
    <w:basedOn w:val="para0"/>
    <w:pPr>
      <w:spacing w:after="40" w:line="240" w:lineRule="auto"/>
    </w:pPr>
    <w:rPr>
      <w:sz w:val="18"/>
    </w:rPr>
  </w:style>
  <w:style w:type="paragraph" w:styleId="para21">
    <w:name w:val="Endnote Text"/>
    <w:qFormat/>
    <w:basedOn w:val="para0"/>
    <w:pPr>
      <w:spacing w:after="0" w:line="240" w:lineRule="auto"/>
    </w:pPr>
    <w:rPr>
      <w:sz w:val="20"/>
    </w:rPr>
  </w:style>
  <w:style w:type="paragraph" w:styleId="para22">
    <w:name w:val="toc 1"/>
    <w:qFormat/>
    <w:basedOn w:val="para0"/>
    <w:pPr>
      <w:spacing w:after="57"/>
    </w:pPr>
  </w:style>
  <w:style w:type="paragraph" w:styleId="para23">
    <w:name w:val="toc 2"/>
    <w:qFormat/>
    <w:basedOn w:val="para0"/>
    <w:pPr>
      <w:ind w:left="283"/>
      <w:spacing w:after="57"/>
    </w:pPr>
  </w:style>
  <w:style w:type="paragraph" w:styleId="para24">
    <w:name w:val="toc 3"/>
    <w:qFormat/>
    <w:basedOn w:val="para0"/>
    <w:pPr>
      <w:ind w:left="567"/>
      <w:spacing w:after="57"/>
    </w:pPr>
  </w:style>
  <w:style w:type="paragraph" w:styleId="para25">
    <w:name w:val="toc 4"/>
    <w:qFormat/>
    <w:basedOn w:val="para0"/>
    <w:pPr>
      <w:ind w:left="850"/>
      <w:spacing w:after="57"/>
    </w:pPr>
  </w:style>
  <w:style w:type="paragraph" w:styleId="para26">
    <w:name w:val="toc 5"/>
    <w:qFormat/>
    <w:basedOn w:val="para0"/>
    <w:pPr>
      <w:ind w:left="1134"/>
      <w:spacing w:after="57"/>
    </w:pPr>
  </w:style>
  <w:style w:type="paragraph" w:styleId="para27">
    <w:name w:val="toc 6"/>
    <w:qFormat/>
    <w:basedOn w:val="para0"/>
    <w:pPr>
      <w:ind w:left="1417"/>
      <w:spacing w:after="57"/>
    </w:pPr>
  </w:style>
  <w:style w:type="paragraph" w:styleId="para28">
    <w:name w:val="toc 7"/>
    <w:qFormat/>
    <w:basedOn w:val="para0"/>
    <w:pPr>
      <w:ind w:left="1701"/>
      <w:spacing w:after="57"/>
    </w:pPr>
  </w:style>
  <w:style w:type="paragraph" w:styleId="para29">
    <w:name w:val="toc 8"/>
    <w:qFormat/>
    <w:basedOn w:val="para0"/>
    <w:pPr>
      <w:ind w:left="1984"/>
      <w:spacing w:after="57"/>
    </w:pPr>
  </w:style>
  <w:style w:type="paragraph" w:styleId="para30">
    <w:name w:val="toc 9"/>
    <w:qFormat/>
    <w:basedOn w:val="para0"/>
    <w:pPr>
      <w:ind w:left="2268"/>
      <w:spacing w:after="57"/>
    </w:pPr>
  </w:style>
  <w:style w:type="paragraph" w:styleId="para31">
    <w:name w:val="TOC Heading"/>
    <w:qFormat/>
    <w:pPr>
      <w:spacing w:after="0" w:line="240" w:lineRule="auto"/>
    </w:pPr>
    <w:rPr>
      <w:rFonts w:ascii="Calibri" w:hAnsi="Calibri" w:eastAsia="Calibri" w:cs="Times New Roman"/>
      <w:lang w:val="sl-si" w:eastAsia="sl-si" w:bidi="ar-sa"/>
    </w:rPr>
  </w:style>
  <w:style w:type="paragraph" w:styleId="para32">
    <w:name w:val="Table of Figures"/>
    <w:qFormat/>
    <w:basedOn w:val="para0"/>
    <w:pPr>
      <w:spacing w:after="0"/>
    </w:pPr>
  </w:style>
  <w:style w:type="paragraph" w:styleId="para33" w:customStyle="1">
    <w:name w:val="Header and Footer"/>
    <w:qFormat/>
    <w:basedOn w:val="para0"/>
  </w:style>
  <w:style w:type="paragraph" w:styleId="para34">
    <w:name w:val="Header"/>
    <w:qFormat/>
    <w:basedOn w:val="para0"/>
    <w:pPr>
      <w:tabs defTabSz="720">
        <w:tab w:val="center" w:pos="4680" w:leader="none"/>
        <w:tab w:val="right" w:pos="9360" w:leader="none"/>
      </w:tabs>
    </w:pPr>
  </w:style>
  <w:style w:type="paragraph" w:styleId="para35">
    <w:name w:val="Footer"/>
    <w:qFormat/>
    <w:basedOn w:val="para0"/>
    <w:pPr>
      <w:tabs defTabSz="720">
        <w:tab w:val="center" w:pos="4680" w:leader="none"/>
        <w:tab w:val="right" w:pos="9360" w:leader="none"/>
      </w:tabs>
    </w:pPr>
  </w:style>
  <w:style w:type="paragraph" w:styleId="para36">
    <w:name w:val="List Paragraph"/>
    <w:qFormat/>
    <w:basedOn w:val="para0"/>
    <w:pPr>
      <w:ind w:left="720"/>
      <w:contextualSpacing/>
    </w:pPr>
  </w:style>
  <w:style w:type="paragraph" w:styleId="para37" w:customStyle="1">
    <w:name w:val="Table Contents"/>
    <w:qFormat/>
    <w:basedOn w:val="para0"/>
    <w:pPr>
      <w:suppressLineNumbers/>
      <w:widowControl w:val="0"/>
    </w:pPr>
  </w:style>
  <w:style w:type="paragraph" w:styleId="para38" w:customStyle="1">
    <w:name w:val="Table Heading"/>
    <w:qFormat/>
    <w:basedOn w:val="para37"/>
    <w:pPr>
      <w:spacing/>
      <w:jc w:val="center"/>
    </w:pPr>
    <w:rPr>
      <w:b/>
      <w:bCs/>
    </w:rPr>
  </w:style>
  <w:style w:type="paragraph" w:styleId="para39" w:customStyle="1">
    <w:name w:val="annotation text"/>
    <w:qFormat/>
    <w:basedOn w:val="para0"/>
    <w:pPr>
      <w:spacing w:line="240" w:lineRule="auto"/>
    </w:pPr>
    <w:rPr>
      <w:sz w:val="20"/>
      <w:szCs w:val="20"/>
    </w:rPr>
  </w:style>
  <w:style w:type="paragraph" w:styleId="para40" w:customStyle="1">
    <w:name w:val="annotation subject"/>
    <w:qFormat/>
    <w:basedOn w:val="para39"/>
    <w:next w:val="para39"/>
    <w:rPr>
      <w:b/>
      <w:bCs/>
    </w:rPr>
  </w:style>
  <w:style w:type="paragraph" w:styleId="para41">
    <w:name w:val="Balloon Text"/>
    <w:qFormat/>
    <w:basedOn w:val="para0"/>
    <w:pPr>
      <w:spacing w:after="0" w:line="240" w:lineRule="auto"/>
    </w:pPr>
    <w:rPr>
      <w:rFonts w:ascii="Segoe UI" w:hAnsi="Segoe UI" w:cs="Segoe UI"/>
      <w:sz w:val="18"/>
      <w:szCs w:val="18"/>
    </w:rPr>
  </w:style>
  <w:style w:type="paragraph" w:styleId="para42" w:customStyle="1">
    <w:name w:val="Revision"/>
    <w:qFormat/>
    <w:pPr>
      <w:spacing w:after="0" w:line="240" w:lineRule="auto"/>
      <w:hyphenationLines w:val="1"/>
    </w:pPr>
    <w:rPr>
      <w:rFonts w:ascii="Calibri" w:hAnsi="Calibri" w:eastAsia="Calibri" w:cs="Times New Roman"/>
      <w:sz w:val="22"/>
      <w:szCs w:val="22"/>
      <w:lang w:val="en-us" w:eastAsia="en-us" w:bidi="ar-sa"/>
    </w:rPr>
  </w:style>
  <w:style w:type="character" w:styleId="char0" w:default="1">
    <w:name w:val="Default Paragraph Font"/>
  </w:style>
  <w:style w:type="character" w:styleId="char1" w:customStyle="1">
    <w:name w:val="Heading 1 Char"/>
    <w:basedOn w:val="char0"/>
    <w:rPr>
      <w:rFonts w:ascii="Arial" w:hAnsi="Arial" w:eastAsia="Arial" w:cs="Arial"/>
      <w:sz w:val="40"/>
      <w:szCs w:val="40"/>
    </w:rPr>
  </w:style>
  <w:style w:type="character" w:styleId="char2" w:customStyle="1">
    <w:name w:val="Heading 2 Char"/>
    <w:basedOn w:val="char0"/>
    <w:rPr>
      <w:rFonts w:ascii="Arial" w:hAnsi="Arial" w:eastAsia="Arial" w:cs="Arial"/>
      <w:sz w:val="34"/>
    </w:rPr>
  </w:style>
  <w:style w:type="character" w:styleId="char3" w:customStyle="1">
    <w:name w:val="Heading 3 Char"/>
    <w:basedOn w:val="char0"/>
    <w:rPr>
      <w:rFonts w:ascii="Arial" w:hAnsi="Arial" w:eastAsia="Arial" w:cs="Arial"/>
      <w:sz w:val="30"/>
      <w:szCs w:val="30"/>
    </w:rPr>
  </w:style>
  <w:style w:type="character" w:styleId="char4" w:customStyle="1">
    <w:name w:val="Heading 4 Char"/>
    <w:basedOn w:val="char0"/>
    <w:rPr>
      <w:rFonts w:ascii="Arial" w:hAnsi="Arial" w:eastAsia="Arial" w:cs="Arial"/>
      <w:b/>
      <w:bCs/>
      <w:sz w:val="26"/>
      <w:szCs w:val="26"/>
    </w:rPr>
  </w:style>
  <w:style w:type="character" w:styleId="char5" w:customStyle="1">
    <w:name w:val="Heading 5 Char"/>
    <w:basedOn w:val="char0"/>
    <w:rPr>
      <w:rFonts w:ascii="Arial" w:hAnsi="Arial" w:eastAsia="Arial" w:cs="Arial"/>
      <w:b/>
      <w:bCs/>
      <w:sz w:val="24"/>
      <w:szCs w:val="24"/>
    </w:rPr>
  </w:style>
  <w:style w:type="character" w:styleId="char6" w:customStyle="1">
    <w:name w:val="Heading 6 Char"/>
    <w:basedOn w:val="char0"/>
    <w:rPr>
      <w:rFonts w:ascii="Arial" w:hAnsi="Arial" w:eastAsia="Arial" w:cs="Arial"/>
      <w:b/>
      <w:bCs/>
      <w:sz w:val="22"/>
      <w:szCs w:val="22"/>
    </w:rPr>
  </w:style>
  <w:style w:type="character" w:styleId="char7" w:customStyle="1">
    <w:name w:val="Heading 7 Char"/>
    <w:basedOn w:val="char0"/>
    <w:rPr>
      <w:rFonts w:ascii="Arial" w:hAnsi="Arial" w:eastAsia="Arial" w:cs="Arial"/>
      <w:b/>
      <w:bCs/>
      <w:i/>
      <w:iCs/>
      <w:sz w:val="22"/>
      <w:szCs w:val="22"/>
    </w:rPr>
  </w:style>
  <w:style w:type="character" w:styleId="char8" w:customStyle="1">
    <w:name w:val="Heading 8 Char"/>
    <w:basedOn w:val="char0"/>
    <w:rPr>
      <w:rFonts w:ascii="Arial" w:hAnsi="Arial" w:eastAsia="Arial" w:cs="Arial"/>
      <w:i/>
      <w:iCs/>
      <w:sz w:val="22"/>
      <w:szCs w:val="22"/>
    </w:rPr>
  </w:style>
  <w:style w:type="character" w:styleId="char9" w:customStyle="1">
    <w:name w:val="Heading 9 Char"/>
    <w:basedOn w:val="char0"/>
    <w:rPr>
      <w:rFonts w:ascii="Arial" w:hAnsi="Arial" w:eastAsia="Arial" w:cs="Arial"/>
      <w:i/>
      <w:iCs/>
      <w:sz w:val="21"/>
      <w:szCs w:val="21"/>
    </w:rPr>
  </w:style>
  <w:style w:type="character" w:styleId="char10" w:customStyle="1">
    <w:name w:val="Title Char"/>
    <w:basedOn w:val="char0"/>
    <w:rPr>
      <w:sz w:val="48"/>
      <w:szCs w:val="48"/>
    </w:rPr>
  </w:style>
  <w:style w:type="character" w:styleId="char11" w:customStyle="1">
    <w:name w:val="Subtitle Char"/>
    <w:basedOn w:val="char0"/>
    <w:rPr>
      <w:sz w:val="24"/>
      <w:szCs w:val="24"/>
    </w:rPr>
  </w:style>
  <w:style w:type="character" w:styleId="char12" w:customStyle="1">
    <w:name w:val="Quote Char"/>
    <w:rPr>
      <w:i/>
    </w:rPr>
  </w:style>
  <w:style w:type="character" w:styleId="char13" w:customStyle="1">
    <w:name w:val="Intense Quote Char"/>
    <w:rPr>
      <w:i/>
    </w:rPr>
  </w:style>
  <w:style w:type="character" w:styleId="char14" w:customStyle="1">
    <w:name w:val="Caption Char"/>
  </w:style>
  <w:style w:type="character" w:styleId="char15">
    <w:name w:val="Hyperlink"/>
    <w:rPr>
      <w:color w:val="0563c1"/>
      <w:u w:color="auto" w:val="single"/>
    </w:rPr>
  </w:style>
  <w:style w:type="character" w:styleId="char16" w:customStyle="1">
    <w:name w:val="Footnote Text Char"/>
    <w:rPr>
      <w:sz w:val="18"/>
    </w:rPr>
  </w:style>
  <w:style w:type="character" w:styleId="char17" w:customStyle="1">
    <w:name w:val="Footnote Characters"/>
    <w:rPr>
      <w:vertAlign w:val="superscript"/>
    </w:rPr>
  </w:style>
  <w:style w:type="character" w:styleId="char18" w:customStyle="1">
    <w:name w:val="Footnote Anchor"/>
    <w:rPr>
      <w:vertAlign w:val="superscript"/>
    </w:rPr>
  </w:style>
  <w:style w:type="character" w:styleId="char19" w:customStyle="1">
    <w:name w:val="Endnote Text Char"/>
    <w:rPr>
      <w:sz w:val="20"/>
    </w:rPr>
  </w:style>
  <w:style w:type="character" w:styleId="char20" w:customStyle="1">
    <w:name w:val="Endnote Characters"/>
    <w:rPr>
      <w:vertAlign w:val="superscript"/>
    </w:rPr>
  </w:style>
  <w:style w:type="character" w:styleId="char21" w:customStyle="1">
    <w:name w:val="Endnote Anchor"/>
    <w:rPr>
      <w:vertAlign w:val="superscript"/>
    </w:rPr>
  </w:style>
  <w:style w:type="character" w:styleId="char22" w:customStyle="1">
    <w:name w:val="Header Char"/>
    <w:rPr>
      <w:sz w:val="22"/>
      <w:szCs w:val="22"/>
    </w:rPr>
  </w:style>
  <w:style w:type="character" w:styleId="char23" w:customStyle="1">
    <w:name w:val="Footer Char"/>
    <w:rPr>
      <w:sz w:val="22"/>
      <w:szCs w:val="22"/>
    </w:rPr>
  </w:style>
  <w:style w:type="character" w:styleId="char24" w:customStyle="1">
    <w:name w:val="annotation reference"/>
    <w:basedOn w:val="char0"/>
    <w:rPr>
      <w:sz w:val="16"/>
      <w:szCs w:val="16"/>
    </w:rPr>
  </w:style>
  <w:style w:type="character" w:styleId="char25" w:customStyle="1">
    <w:name w:val="Comment Text Char"/>
    <w:basedOn w:val="char0"/>
    <w:rPr>
      <w:lang w:val="en-us" w:eastAsia="en-us"/>
    </w:rPr>
  </w:style>
  <w:style w:type="character" w:styleId="char26" w:customStyle="1">
    <w:name w:val="Comment Subject Char"/>
    <w:basedOn w:val="char25"/>
    <w:rPr>
      <w:b/>
      <w:bCs/>
      <w:lang w:val="en-us" w:eastAsia="en-us"/>
    </w:rPr>
  </w:style>
  <w:style w:type="character" w:styleId="char27" w:customStyle="1">
    <w:name w:val="Balloon Text Char"/>
    <w:basedOn w:val="char0"/>
    <w:rPr>
      <w:rFonts w:ascii="Segoe UI" w:hAnsi="Segoe UI" w:cs="Segoe UI"/>
      <w:sz w:val="18"/>
      <w:szCs w:val="18"/>
      <w:lang w:val="en-us" w:eastAsia="en-us"/>
    </w:rPr>
  </w:style>
  <w:style w:type="character" w:styleId="char28" w:customStyle="1">
    <w:name w:val="Line Numbering"/>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Times New Roman"/>
        <w:sz w:val="20"/>
        <w:szCs w:val="20"/>
        <w:lang w:val="sl-si" w:eastAsia="sl-si" w:bidi="ar-sa"/>
      </w:rPr>
    </w:rPrDefault>
    <w:pPrDefault>
      <w:pPr>
        <w:spacing w:after="200" w:line="276" w:lineRule="auto"/>
        <w:suppressAutoHyphens/>
        <w:hyphenationLines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sz w:val="22"/>
      <w:szCs w:val="22"/>
      <w:lang w:val="en-us" w:eastAsia="en-us"/>
    </w:rPr>
  </w:style>
  <w:style w:type="paragraph" w:styleId="para1">
    <w:name w:val="heading 1"/>
    <w:qFormat/>
    <w:basedOn w:val="para0"/>
    <w:pPr>
      <w:spacing w:before="480"/>
      <w:keepNext/>
      <w:outlineLvl w:val="0"/>
      <w:keepLines/>
    </w:pPr>
    <w:rPr>
      <w:rFonts w:ascii="Arial" w:hAnsi="Arial" w:eastAsia="Arial" w:cs="Arial"/>
      <w:sz w:val="40"/>
      <w:szCs w:val="40"/>
    </w:rPr>
  </w:style>
  <w:style w:type="paragraph" w:styleId="para2">
    <w:name w:val="heading 2"/>
    <w:qFormat/>
    <w:basedOn w:val="para0"/>
    <w:pPr>
      <w:spacing w:before="360"/>
      <w:keepNext/>
      <w:outlineLvl w:val="1"/>
      <w:keepLines/>
    </w:pPr>
    <w:rPr>
      <w:rFonts w:ascii="Arial" w:hAnsi="Arial" w:eastAsia="Arial" w:cs="Arial"/>
      <w:sz w:val="34"/>
    </w:rPr>
  </w:style>
  <w:style w:type="paragraph" w:styleId="para3">
    <w:name w:val="heading 3"/>
    <w:qFormat/>
    <w:basedOn w:val="para0"/>
    <w:pPr>
      <w:spacing w:before="320"/>
      <w:keepNext/>
      <w:outlineLvl w:val="2"/>
      <w:keepLines/>
    </w:pPr>
    <w:rPr>
      <w:rFonts w:ascii="Arial" w:hAnsi="Arial" w:eastAsia="Arial" w:cs="Arial"/>
      <w:sz w:val="30"/>
      <w:szCs w:val="30"/>
    </w:rPr>
  </w:style>
  <w:style w:type="paragraph" w:styleId="para4">
    <w:name w:val="heading 4"/>
    <w:qFormat/>
    <w:basedOn w:val="para0"/>
    <w:pPr>
      <w:spacing w:before="320"/>
      <w:keepNext/>
      <w:outlineLvl w:val="3"/>
      <w:keepLines/>
    </w:pPr>
    <w:rPr>
      <w:rFonts w:ascii="Arial" w:hAnsi="Arial" w:eastAsia="Arial" w:cs="Arial"/>
      <w:b/>
      <w:bCs/>
      <w:sz w:val="26"/>
      <w:szCs w:val="26"/>
    </w:rPr>
  </w:style>
  <w:style w:type="paragraph" w:styleId="para5">
    <w:name w:val="heading 5"/>
    <w:qFormat/>
    <w:basedOn w:val="para0"/>
    <w:pPr>
      <w:spacing w:before="320"/>
      <w:keepNext/>
      <w:outlineLvl w:val="4"/>
      <w:keepLines/>
    </w:pPr>
    <w:rPr>
      <w:rFonts w:ascii="Arial" w:hAnsi="Arial" w:eastAsia="Arial" w:cs="Arial"/>
      <w:b/>
      <w:bCs/>
      <w:sz w:val="24"/>
      <w:szCs w:val="24"/>
    </w:rPr>
  </w:style>
  <w:style w:type="paragraph" w:styleId="para6">
    <w:name w:val="heading 6"/>
    <w:qFormat/>
    <w:basedOn w:val="para0"/>
    <w:pPr>
      <w:spacing w:before="320"/>
      <w:keepNext/>
      <w:outlineLvl w:val="5"/>
      <w:keepLines/>
    </w:pPr>
    <w:rPr>
      <w:rFonts w:ascii="Arial" w:hAnsi="Arial" w:eastAsia="Arial" w:cs="Arial"/>
      <w:b/>
      <w:bCs/>
    </w:rPr>
  </w:style>
  <w:style w:type="paragraph" w:styleId="para7">
    <w:name w:val="heading 7"/>
    <w:qFormat/>
    <w:basedOn w:val="para0"/>
    <w:pPr>
      <w:spacing w:before="320"/>
      <w:keepNext/>
      <w:outlineLvl w:val="6"/>
      <w:keepLines/>
    </w:pPr>
    <w:rPr>
      <w:rFonts w:ascii="Arial" w:hAnsi="Arial" w:eastAsia="Arial" w:cs="Arial"/>
      <w:b/>
      <w:bCs/>
      <w:i/>
      <w:iCs/>
    </w:rPr>
  </w:style>
  <w:style w:type="paragraph" w:styleId="para8">
    <w:name w:val="heading 8"/>
    <w:qFormat/>
    <w:basedOn w:val="para0"/>
    <w:pPr>
      <w:spacing w:before="320"/>
      <w:keepNext/>
      <w:outlineLvl w:val="7"/>
      <w:keepLines/>
    </w:pPr>
    <w:rPr>
      <w:rFonts w:ascii="Arial" w:hAnsi="Arial" w:eastAsia="Arial" w:cs="Arial"/>
      <w:i/>
      <w:iCs/>
    </w:rPr>
  </w:style>
  <w:style w:type="paragraph" w:styleId="para9">
    <w:name w:val="heading 9"/>
    <w:qFormat/>
    <w:basedOn w:val="para0"/>
    <w:pPr>
      <w:spacing w:before="320"/>
      <w:keepNext/>
      <w:outlineLvl w:val="8"/>
      <w:keepLines/>
    </w:pPr>
    <w:rPr>
      <w:rFonts w:ascii="Arial" w:hAnsi="Arial" w:eastAsia="Arial" w:cs="Arial"/>
      <w:i/>
      <w:iCs/>
      <w:sz w:val="21"/>
      <w:szCs w:val="21"/>
    </w:rPr>
  </w:style>
  <w:style w:type="paragraph" w:styleId="para10" w:customStyle="1">
    <w:name w:val="Heading"/>
    <w:qFormat/>
    <w:basedOn w:val="para0"/>
    <w:next w:val="para11"/>
    <w:pPr>
      <w:spacing w:before="240" w:after="120"/>
      <w:keepNext/>
    </w:pPr>
    <w:rPr>
      <w:rFonts w:ascii="Liberation Sans" w:hAnsi="Liberation Sans" w:eastAsia="Noto Sans CJK SC" w:cs="FreeSans"/>
      <w:sz w:val="28"/>
      <w:szCs w:val="28"/>
    </w:rPr>
  </w:style>
  <w:style w:type="paragraph" w:styleId="para11">
    <w:name w:val="Body Text"/>
    <w:qFormat/>
    <w:basedOn w:val="para0"/>
    <w:pPr>
      <w:spacing w:after="140"/>
    </w:pPr>
  </w:style>
  <w:style w:type="paragraph" w:styleId="para12">
    <w:name w:val="List"/>
    <w:qFormat/>
    <w:basedOn w:val="para11"/>
    <w:rPr>
      <w:rFonts w:cs="FreeSans"/>
    </w:rPr>
  </w:style>
  <w:style w:type="paragraph" w:styleId="para13">
    <w:name w:val="caption"/>
    <w:qFormat/>
    <w:basedOn w:val="para0"/>
    <w:rPr>
      <w:b/>
      <w:bCs/>
      <w:color w:val="5b9bd5"/>
      <w:sz w:val="18"/>
      <w:szCs w:val="18"/>
    </w:rPr>
  </w:style>
  <w:style w:type="paragraph" w:styleId="para14" w:customStyle="1">
    <w:name w:val="Index"/>
    <w:qFormat/>
    <w:basedOn w:val="para0"/>
    <w:pPr>
      <w:suppressLineNumbers/>
    </w:pPr>
    <w:rPr>
      <w:rFonts w:cs="FreeSans"/>
    </w:rPr>
  </w:style>
  <w:style w:type="paragraph" w:styleId="para15">
    <w:name w:val="No Spacing"/>
    <w:qFormat/>
    <w:pPr>
      <w:spacing w:after="0" w:line="240" w:lineRule="auto"/>
    </w:pPr>
    <w:rPr>
      <w:rFonts w:ascii="Calibri" w:hAnsi="Calibri" w:eastAsia="Calibri" w:cs="Times New Roman"/>
      <w:lang w:val="sl-si" w:eastAsia="sl-si" w:bidi="ar-sa"/>
    </w:rPr>
  </w:style>
  <w:style w:type="paragraph" w:styleId="para16">
    <w:name w:val="Title"/>
    <w:qFormat/>
    <w:basedOn w:val="para0"/>
    <w:pPr>
      <w:spacing w:before="300"/>
      <w:contextualSpacing/>
    </w:pPr>
    <w:rPr>
      <w:sz w:val="48"/>
      <w:szCs w:val="48"/>
    </w:rPr>
  </w:style>
  <w:style w:type="paragraph" w:styleId="para17">
    <w:name w:val="Subtitle"/>
    <w:qFormat/>
    <w:basedOn w:val="para0"/>
    <w:pPr>
      <w:spacing w:before="200"/>
    </w:pPr>
    <w:rPr>
      <w:sz w:val="24"/>
      <w:szCs w:val="24"/>
    </w:rPr>
  </w:style>
  <w:style w:type="paragraph" w:styleId="para18">
    <w:name w:val="Quote"/>
    <w:qFormat/>
    <w:basedOn w:val="para0"/>
    <w:pPr>
      <w:ind w:left="720" w:right="720"/>
    </w:pPr>
    <w:rPr>
      <w:i/>
    </w:rPr>
  </w:style>
  <w:style w:type="paragraph" w:styleId="para19">
    <w:name w:val="Intense Quote"/>
    <w:qFormat/>
    <w:basedOn w:val="para0"/>
    <w:pPr>
      <w:ind w:left="720" w:right="720"/>
      <w:spacing w:after="0"/>
      <w:pBdr>
        <w:top w:val="single" w:sz="4" w:space="5" w:color="FFFFFF" tmln="10, 20, 20, 0, 100"/>
        <w:left w:val="single" w:sz="4" w:space="10" w:color="FFFFFF" tmln="10, 20, 20, 0, 200"/>
        <w:bottom w:val="single" w:sz="4" w:space="5" w:color="FFFFFF" tmln="10, 20, 20, 0, 100"/>
        <w:right w:val="single" w:sz="4" w:space="10" w:color="FFFFFF" tmln="10, 20, 20, 0, 200"/>
        <w:between w:val="nil" w:sz="0" w:space="0" w:color="000000" tmln="20, 20, 20, 0, 0"/>
      </w:pBdr>
      <w:shd w:val="solid" w:color="F2F2F2" tmshd="1677721856, 0, 15921906"/>
    </w:pPr>
    <w:rPr>
      <w:i/>
    </w:rPr>
  </w:style>
  <w:style w:type="paragraph" w:styleId="para20">
    <w:name w:val="Footnote Text"/>
    <w:qFormat/>
    <w:basedOn w:val="para0"/>
    <w:pPr>
      <w:spacing w:after="40" w:line="240" w:lineRule="auto"/>
    </w:pPr>
    <w:rPr>
      <w:sz w:val="18"/>
    </w:rPr>
  </w:style>
  <w:style w:type="paragraph" w:styleId="para21">
    <w:name w:val="Endnote Text"/>
    <w:qFormat/>
    <w:basedOn w:val="para0"/>
    <w:pPr>
      <w:spacing w:after="0" w:line="240" w:lineRule="auto"/>
    </w:pPr>
    <w:rPr>
      <w:sz w:val="20"/>
    </w:rPr>
  </w:style>
  <w:style w:type="paragraph" w:styleId="para22">
    <w:name w:val="toc 1"/>
    <w:qFormat/>
    <w:basedOn w:val="para0"/>
    <w:pPr>
      <w:spacing w:after="57"/>
    </w:pPr>
  </w:style>
  <w:style w:type="paragraph" w:styleId="para23">
    <w:name w:val="toc 2"/>
    <w:qFormat/>
    <w:basedOn w:val="para0"/>
    <w:pPr>
      <w:ind w:left="283"/>
      <w:spacing w:after="57"/>
    </w:pPr>
  </w:style>
  <w:style w:type="paragraph" w:styleId="para24">
    <w:name w:val="toc 3"/>
    <w:qFormat/>
    <w:basedOn w:val="para0"/>
    <w:pPr>
      <w:ind w:left="567"/>
      <w:spacing w:after="57"/>
    </w:pPr>
  </w:style>
  <w:style w:type="paragraph" w:styleId="para25">
    <w:name w:val="toc 4"/>
    <w:qFormat/>
    <w:basedOn w:val="para0"/>
    <w:pPr>
      <w:ind w:left="850"/>
      <w:spacing w:after="57"/>
    </w:pPr>
  </w:style>
  <w:style w:type="paragraph" w:styleId="para26">
    <w:name w:val="toc 5"/>
    <w:qFormat/>
    <w:basedOn w:val="para0"/>
    <w:pPr>
      <w:ind w:left="1134"/>
      <w:spacing w:after="57"/>
    </w:pPr>
  </w:style>
  <w:style w:type="paragraph" w:styleId="para27">
    <w:name w:val="toc 6"/>
    <w:qFormat/>
    <w:basedOn w:val="para0"/>
    <w:pPr>
      <w:ind w:left="1417"/>
      <w:spacing w:after="57"/>
    </w:pPr>
  </w:style>
  <w:style w:type="paragraph" w:styleId="para28">
    <w:name w:val="toc 7"/>
    <w:qFormat/>
    <w:basedOn w:val="para0"/>
    <w:pPr>
      <w:ind w:left="1701"/>
      <w:spacing w:after="57"/>
    </w:pPr>
  </w:style>
  <w:style w:type="paragraph" w:styleId="para29">
    <w:name w:val="toc 8"/>
    <w:qFormat/>
    <w:basedOn w:val="para0"/>
    <w:pPr>
      <w:ind w:left="1984"/>
      <w:spacing w:after="57"/>
    </w:pPr>
  </w:style>
  <w:style w:type="paragraph" w:styleId="para30">
    <w:name w:val="toc 9"/>
    <w:qFormat/>
    <w:basedOn w:val="para0"/>
    <w:pPr>
      <w:ind w:left="2268"/>
      <w:spacing w:after="57"/>
    </w:pPr>
  </w:style>
  <w:style w:type="paragraph" w:styleId="para31">
    <w:name w:val="TOC Heading"/>
    <w:qFormat/>
    <w:pPr>
      <w:spacing w:after="0" w:line="240" w:lineRule="auto"/>
    </w:pPr>
    <w:rPr>
      <w:rFonts w:ascii="Calibri" w:hAnsi="Calibri" w:eastAsia="Calibri" w:cs="Times New Roman"/>
      <w:lang w:val="sl-si" w:eastAsia="sl-si" w:bidi="ar-sa"/>
    </w:rPr>
  </w:style>
  <w:style w:type="paragraph" w:styleId="para32">
    <w:name w:val="Table of Figures"/>
    <w:qFormat/>
    <w:basedOn w:val="para0"/>
    <w:pPr>
      <w:spacing w:after="0"/>
    </w:pPr>
  </w:style>
  <w:style w:type="paragraph" w:styleId="para33" w:customStyle="1">
    <w:name w:val="Header and Footer"/>
    <w:qFormat/>
    <w:basedOn w:val="para0"/>
  </w:style>
  <w:style w:type="paragraph" w:styleId="para34">
    <w:name w:val="Header"/>
    <w:qFormat/>
    <w:basedOn w:val="para0"/>
    <w:pPr>
      <w:tabs defTabSz="720">
        <w:tab w:val="center" w:pos="4680" w:leader="none"/>
        <w:tab w:val="right" w:pos="9360" w:leader="none"/>
      </w:tabs>
    </w:pPr>
  </w:style>
  <w:style w:type="paragraph" w:styleId="para35">
    <w:name w:val="Footer"/>
    <w:qFormat/>
    <w:basedOn w:val="para0"/>
    <w:pPr>
      <w:tabs defTabSz="720">
        <w:tab w:val="center" w:pos="4680" w:leader="none"/>
        <w:tab w:val="right" w:pos="9360" w:leader="none"/>
      </w:tabs>
    </w:pPr>
  </w:style>
  <w:style w:type="paragraph" w:styleId="para36">
    <w:name w:val="List Paragraph"/>
    <w:qFormat/>
    <w:basedOn w:val="para0"/>
    <w:pPr>
      <w:ind w:left="720"/>
      <w:contextualSpacing/>
    </w:pPr>
  </w:style>
  <w:style w:type="paragraph" w:styleId="para37" w:customStyle="1">
    <w:name w:val="Table Contents"/>
    <w:qFormat/>
    <w:basedOn w:val="para0"/>
    <w:pPr>
      <w:suppressLineNumbers/>
      <w:widowControl w:val="0"/>
    </w:pPr>
  </w:style>
  <w:style w:type="paragraph" w:styleId="para38" w:customStyle="1">
    <w:name w:val="Table Heading"/>
    <w:qFormat/>
    <w:basedOn w:val="para37"/>
    <w:pPr>
      <w:spacing/>
      <w:jc w:val="center"/>
    </w:pPr>
    <w:rPr>
      <w:b/>
      <w:bCs/>
    </w:rPr>
  </w:style>
  <w:style w:type="paragraph" w:styleId="para39" w:customStyle="1">
    <w:name w:val="annotation text"/>
    <w:qFormat/>
    <w:basedOn w:val="para0"/>
    <w:pPr>
      <w:spacing w:line="240" w:lineRule="auto"/>
    </w:pPr>
    <w:rPr>
      <w:sz w:val="20"/>
      <w:szCs w:val="20"/>
    </w:rPr>
  </w:style>
  <w:style w:type="paragraph" w:styleId="para40" w:customStyle="1">
    <w:name w:val="annotation subject"/>
    <w:qFormat/>
    <w:basedOn w:val="para39"/>
    <w:next w:val="para39"/>
    <w:rPr>
      <w:b/>
      <w:bCs/>
    </w:rPr>
  </w:style>
  <w:style w:type="paragraph" w:styleId="para41">
    <w:name w:val="Balloon Text"/>
    <w:qFormat/>
    <w:basedOn w:val="para0"/>
    <w:pPr>
      <w:spacing w:after="0" w:line="240" w:lineRule="auto"/>
    </w:pPr>
    <w:rPr>
      <w:rFonts w:ascii="Segoe UI" w:hAnsi="Segoe UI" w:cs="Segoe UI"/>
      <w:sz w:val="18"/>
      <w:szCs w:val="18"/>
    </w:rPr>
  </w:style>
  <w:style w:type="paragraph" w:styleId="para42" w:customStyle="1">
    <w:name w:val="Revision"/>
    <w:qFormat/>
    <w:pPr>
      <w:spacing w:after="0" w:line="240" w:lineRule="auto"/>
      <w:hyphenationLines w:val="1"/>
    </w:pPr>
    <w:rPr>
      <w:rFonts w:ascii="Calibri" w:hAnsi="Calibri" w:eastAsia="Calibri" w:cs="Times New Roman"/>
      <w:sz w:val="22"/>
      <w:szCs w:val="22"/>
      <w:lang w:val="en-us" w:eastAsia="en-us" w:bidi="ar-sa"/>
    </w:rPr>
  </w:style>
  <w:style w:type="character" w:styleId="char0" w:default="1">
    <w:name w:val="Default Paragraph Font"/>
  </w:style>
  <w:style w:type="character" w:styleId="char1" w:customStyle="1">
    <w:name w:val="Heading 1 Char"/>
    <w:basedOn w:val="char0"/>
    <w:rPr>
      <w:rFonts w:ascii="Arial" w:hAnsi="Arial" w:eastAsia="Arial" w:cs="Arial"/>
      <w:sz w:val="40"/>
      <w:szCs w:val="40"/>
    </w:rPr>
  </w:style>
  <w:style w:type="character" w:styleId="char2" w:customStyle="1">
    <w:name w:val="Heading 2 Char"/>
    <w:basedOn w:val="char0"/>
    <w:rPr>
      <w:rFonts w:ascii="Arial" w:hAnsi="Arial" w:eastAsia="Arial" w:cs="Arial"/>
      <w:sz w:val="34"/>
    </w:rPr>
  </w:style>
  <w:style w:type="character" w:styleId="char3" w:customStyle="1">
    <w:name w:val="Heading 3 Char"/>
    <w:basedOn w:val="char0"/>
    <w:rPr>
      <w:rFonts w:ascii="Arial" w:hAnsi="Arial" w:eastAsia="Arial" w:cs="Arial"/>
      <w:sz w:val="30"/>
      <w:szCs w:val="30"/>
    </w:rPr>
  </w:style>
  <w:style w:type="character" w:styleId="char4" w:customStyle="1">
    <w:name w:val="Heading 4 Char"/>
    <w:basedOn w:val="char0"/>
    <w:rPr>
      <w:rFonts w:ascii="Arial" w:hAnsi="Arial" w:eastAsia="Arial" w:cs="Arial"/>
      <w:b/>
      <w:bCs/>
      <w:sz w:val="26"/>
      <w:szCs w:val="26"/>
    </w:rPr>
  </w:style>
  <w:style w:type="character" w:styleId="char5" w:customStyle="1">
    <w:name w:val="Heading 5 Char"/>
    <w:basedOn w:val="char0"/>
    <w:rPr>
      <w:rFonts w:ascii="Arial" w:hAnsi="Arial" w:eastAsia="Arial" w:cs="Arial"/>
      <w:b/>
      <w:bCs/>
      <w:sz w:val="24"/>
      <w:szCs w:val="24"/>
    </w:rPr>
  </w:style>
  <w:style w:type="character" w:styleId="char6" w:customStyle="1">
    <w:name w:val="Heading 6 Char"/>
    <w:basedOn w:val="char0"/>
    <w:rPr>
      <w:rFonts w:ascii="Arial" w:hAnsi="Arial" w:eastAsia="Arial" w:cs="Arial"/>
      <w:b/>
      <w:bCs/>
      <w:sz w:val="22"/>
      <w:szCs w:val="22"/>
    </w:rPr>
  </w:style>
  <w:style w:type="character" w:styleId="char7" w:customStyle="1">
    <w:name w:val="Heading 7 Char"/>
    <w:basedOn w:val="char0"/>
    <w:rPr>
      <w:rFonts w:ascii="Arial" w:hAnsi="Arial" w:eastAsia="Arial" w:cs="Arial"/>
      <w:b/>
      <w:bCs/>
      <w:i/>
      <w:iCs/>
      <w:sz w:val="22"/>
      <w:szCs w:val="22"/>
    </w:rPr>
  </w:style>
  <w:style w:type="character" w:styleId="char8" w:customStyle="1">
    <w:name w:val="Heading 8 Char"/>
    <w:basedOn w:val="char0"/>
    <w:rPr>
      <w:rFonts w:ascii="Arial" w:hAnsi="Arial" w:eastAsia="Arial" w:cs="Arial"/>
      <w:i/>
      <w:iCs/>
      <w:sz w:val="22"/>
      <w:szCs w:val="22"/>
    </w:rPr>
  </w:style>
  <w:style w:type="character" w:styleId="char9" w:customStyle="1">
    <w:name w:val="Heading 9 Char"/>
    <w:basedOn w:val="char0"/>
    <w:rPr>
      <w:rFonts w:ascii="Arial" w:hAnsi="Arial" w:eastAsia="Arial" w:cs="Arial"/>
      <w:i/>
      <w:iCs/>
      <w:sz w:val="21"/>
      <w:szCs w:val="21"/>
    </w:rPr>
  </w:style>
  <w:style w:type="character" w:styleId="char10" w:customStyle="1">
    <w:name w:val="Title Char"/>
    <w:basedOn w:val="char0"/>
    <w:rPr>
      <w:sz w:val="48"/>
      <w:szCs w:val="48"/>
    </w:rPr>
  </w:style>
  <w:style w:type="character" w:styleId="char11" w:customStyle="1">
    <w:name w:val="Subtitle Char"/>
    <w:basedOn w:val="char0"/>
    <w:rPr>
      <w:sz w:val="24"/>
      <w:szCs w:val="24"/>
    </w:rPr>
  </w:style>
  <w:style w:type="character" w:styleId="char12" w:customStyle="1">
    <w:name w:val="Quote Char"/>
    <w:rPr>
      <w:i/>
    </w:rPr>
  </w:style>
  <w:style w:type="character" w:styleId="char13" w:customStyle="1">
    <w:name w:val="Intense Quote Char"/>
    <w:rPr>
      <w:i/>
    </w:rPr>
  </w:style>
  <w:style w:type="character" w:styleId="char14" w:customStyle="1">
    <w:name w:val="Caption Char"/>
  </w:style>
  <w:style w:type="character" w:styleId="char15">
    <w:name w:val="Hyperlink"/>
    <w:rPr>
      <w:color w:val="0563c1"/>
      <w:u w:color="auto" w:val="single"/>
    </w:rPr>
  </w:style>
  <w:style w:type="character" w:styleId="char16" w:customStyle="1">
    <w:name w:val="Footnote Text Char"/>
    <w:rPr>
      <w:sz w:val="18"/>
    </w:rPr>
  </w:style>
  <w:style w:type="character" w:styleId="char17" w:customStyle="1">
    <w:name w:val="Footnote Characters"/>
    <w:rPr>
      <w:vertAlign w:val="superscript"/>
    </w:rPr>
  </w:style>
  <w:style w:type="character" w:styleId="char18" w:customStyle="1">
    <w:name w:val="Footnote Anchor"/>
    <w:rPr>
      <w:vertAlign w:val="superscript"/>
    </w:rPr>
  </w:style>
  <w:style w:type="character" w:styleId="char19" w:customStyle="1">
    <w:name w:val="Endnote Text Char"/>
    <w:rPr>
      <w:sz w:val="20"/>
    </w:rPr>
  </w:style>
  <w:style w:type="character" w:styleId="char20" w:customStyle="1">
    <w:name w:val="Endnote Characters"/>
    <w:rPr>
      <w:vertAlign w:val="superscript"/>
    </w:rPr>
  </w:style>
  <w:style w:type="character" w:styleId="char21" w:customStyle="1">
    <w:name w:val="Endnote Anchor"/>
    <w:rPr>
      <w:vertAlign w:val="superscript"/>
    </w:rPr>
  </w:style>
  <w:style w:type="character" w:styleId="char22" w:customStyle="1">
    <w:name w:val="Header Char"/>
    <w:rPr>
      <w:sz w:val="22"/>
      <w:szCs w:val="22"/>
    </w:rPr>
  </w:style>
  <w:style w:type="character" w:styleId="char23" w:customStyle="1">
    <w:name w:val="Footer Char"/>
    <w:rPr>
      <w:sz w:val="22"/>
      <w:szCs w:val="22"/>
    </w:rPr>
  </w:style>
  <w:style w:type="character" w:styleId="char24" w:customStyle="1">
    <w:name w:val="annotation reference"/>
    <w:basedOn w:val="char0"/>
    <w:rPr>
      <w:sz w:val="16"/>
      <w:szCs w:val="16"/>
    </w:rPr>
  </w:style>
  <w:style w:type="character" w:styleId="char25" w:customStyle="1">
    <w:name w:val="Comment Text Char"/>
    <w:basedOn w:val="char0"/>
    <w:rPr>
      <w:lang w:val="en-us" w:eastAsia="en-us"/>
    </w:rPr>
  </w:style>
  <w:style w:type="character" w:styleId="char26" w:customStyle="1">
    <w:name w:val="Comment Subject Char"/>
    <w:basedOn w:val="char25"/>
    <w:rPr>
      <w:b/>
      <w:bCs/>
      <w:lang w:val="en-us" w:eastAsia="en-us"/>
    </w:rPr>
  </w:style>
  <w:style w:type="character" w:styleId="char27" w:customStyle="1">
    <w:name w:val="Balloon Text Char"/>
    <w:basedOn w:val="char0"/>
    <w:rPr>
      <w:rFonts w:ascii="Segoe UI" w:hAnsi="Segoe UI" w:cs="Segoe UI"/>
      <w:sz w:val="18"/>
      <w:szCs w:val="18"/>
      <w:lang w:val="en-us" w:eastAsia="en-us"/>
    </w:rPr>
  </w:style>
  <w:style w:type="character" w:styleId="char28" w:customStyle="1">
    <w:name w:val="Line Numbering"/>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rev.1036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LNX</cp:lastModifiedBy>
  <cp:revision>153</cp:revision>
  <dcterms:created xsi:type="dcterms:W3CDTF">2021-08-30T15:50:00Z</dcterms:created>
  <dcterms:modified xsi:type="dcterms:W3CDTF">2022-01-18T11:13:11Z</dcterms:modified>
</cp:coreProperties>
</file>