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spacing w:after="0" w:line="240" w:lineRule="auto"/>
        <w:jc w:val="center"/>
        <w:rPr>
          <w:rFonts w:ascii="Verdana" w:hAnsi="Verdana"/>
          <w:b/>
          <w:sz w:val="28"/>
          <w:szCs w:val="28"/>
          <w:lang w:val="sl-si"/>
        </w:rPr>
      </w:pPr>
      <w:r>
        <w:rPr>
          <w:rFonts w:ascii="Verdana" w:hAnsi="Verdana"/>
          <w:b/>
          <w:sz w:val="28"/>
          <w:szCs w:val="28"/>
          <w:lang w:val="sl-si"/>
        </w:rPr>
        <w:t>SPECIFIKACIJE</w:t>
      </w:r>
    </w:p>
    <w:p>
      <w:pPr>
        <w:spacing w:after="0" w:line="240" w:lineRule="auto"/>
        <w:jc w:val="both"/>
        <w:rPr>
          <w:rFonts w:ascii="Verdana" w:hAnsi="Verdana"/>
          <w:sz w:val="20"/>
          <w:szCs w:val="28"/>
          <w:lang w:val="sl-si"/>
        </w:rPr>
      </w:pPr>
      <w:r>
        <w:rPr>
          <w:rFonts w:ascii="Verdana" w:hAnsi="Verdana"/>
          <w:sz w:val="20"/>
          <w:szCs w:val="28"/>
          <w:lang w:val="sl-si"/>
        </w:rPr>
      </w:r>
    </w:p>
    <w:tbl>
      <w:tblPr>
        <w:tblStyle w:val="TableNormal"/>
        <w:name w:val="Table7"/>
        <w:tabOrder w:val="0"/>
        <w:jc w:val="center"/>
        <w:tblInd w:w="0" w:type="dxa"/>
        <w:tblW w:w="9638" w:type="dxa"/>
        <w:tblLook w:val="04A0" w:firstRow="1" w:lastRow="0" w:firstColumn="1" w:lastColumn="0" w:noHBand="0" w:noVBand="1"/>
      </w:tblPr>
      <w:tblGrid>
        <w:gridCol w:w="3244"/>
        <w:gridCol w:w="6394"/>
      </w:tblGrid>
      <w:tr>
        <w:trPr>
          <w:cantSplit w:val="0"/>
          <w:trHeight w:val="0" w:hRule="auto"/>
        </w:trPr>
        <w:tc>
          <w:tcPr>
            <w:tcW w:w="3244" w:type="dxa"/>
            <w:shd w:val="solid" w:color="FDB940" tmshd="1677721856, 0, 4241917"/>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jc w:val="both"/>
              <w:widowControl w:val="0"/>
              <w:rPr>
                <w:rFonts w:ascii="Verdana" w:hAnsi="Verdana"/>
                <w:b/>
                <w:sz w:val="20"/>
                <w:szCs w:val="28"/>
                <w:lang w:val="sl-si"/>
              </w:rPr>
            </w:pPr>
            <w:r>
              <w:rPr>
                <w:rFonts w:ascii="Verdana" w:hAnsi="Verdana"/>
                <w:b/>
                <w:sz w:val="20"/>
                <w:szCs w:val="28"/>
                <w:lang w:val="sl-si"/>
              </w:rPr>
              <w:t>Naročnik</w:t>
            </w:r>
          </w:p>
        </w:tc>
        <w:tc>
          <w:tcPr>
            <w:tcW w:w="6394" w:type="dxa"/>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jc w:val="both"/>
              <w:widowControl w:val="0"/>
              <w:rPr>
                <w:rFonts w:ascii="Verdana" w:hAnsi="Verdana"/>
                <w:b/>
                <w:sz w:val="20"/>
                <w:szCs w:val="28"/>
                <w:lang w:val="sl-si"/>
              </w:rPr>
            </w:pPr>
            <w:r>
              <w:rPr>
                <w:rFonts w:ascii="Verdana" w:hAnsi="Verdana"/>
                <w:b/>
                <w:sz w:val="20"/>
                <w:szCs w:val="28"/>
                <w:lang w:val="sl-si"/>
              </w:rPr>
              <w:t>Splošna bolnišnica dr. Jožeta Potrča Ptuj</w:t>
            </w:r>
          </w:p>
          <w:p>
            <w:pPr>
              <w:spacing w:after="0" w:line="240" w:lineRule="auto"/>
              <w:jc w:val="both"/>
              <w:widowControl w:val="0"/>
              <w:rPr>
                <w:rFonts w:ascii="Verdana" w:hAnsi="Verdana"/>
                <w:b/>
                <w:sz w:val="20"/>
                <w:szCs w:val="28"/>
                <w:lang w:val="sl-si"/>
              </w:rPr>
            </w:pPr>
            <w:r>
              <w:rPr>
                <w:rFonts w:ascii="Verdana" w:hAnsi="Verdana"/>
                <w:b/>
                <w:sz w:val="20"/>
                <w:szCs w:val="28"/>
                <w:lang w:val="sl-si"/>
              </w:rPr>
              <w:t>Potrčeva cesta 23</w:t>
            </w:r>
          </w:p>
          <w:p>
            <w:pPr>
              <w:spacing w:after="0" w:line="240" w:lineRule="auto"/>
              <w:jc w:val="both"/>
              <w:widowControl w:val="0"/>
              <w:rPr>
                <w:rFonts w:ascii="Verdana" w:hAnsi="Verdana"/>
                <w:b/>
                <w:sz w:val="20"/>
                <w:szCs w:val="28"/>
                <w:lang w:val="sl-si"/>
              </w:rPr>
            </w:pPr>
            <w:r>
              <w:rPr>
                <w:rFonts w:ascii="Verdana" w:hAnsi="Verdana"/>
                <w:b/>
                <w:sz w:val="20"/>
                <w:szCs w:val="28"/>
                <w:lang w:val="sl-si"/>
              </w:rPr>
              <w:t>2250 Ptuj</w:t>
            </w:r>
          </w:p>
        </w:tc>
      </w:tr>
      <w:tr>
        <w:trPr>
          <w:cantSplit w:val="0"/>
          <w:trHeight w:val="0" w:hRule="auto"/>
        </w:trPr>
        <w:tc>
          <w:tcPr>
            <w:tcW w:w="3244" w:type="dxa"/>
            <w:shd w:val="solid" w:color="FDB940" tmshd="1677721856, 0, 4241917"/>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widowControl w:val="0"/>
              <w:rPr>
                <w:rFonts w:ascii="Verdana" w:hAnsi="Verdana"/>
                <w:b/>
                <w:sz w:val="20"/>
                <w:szCs w:val="28"/>
                <w:lang w:val="sl-si"/>
              </w:rPr>
            </w:pPr>
            <w:r>
              <w:rPr>
                <w:rFonts w:ascii="Verdana" w:hAnsi="Verdana"/>
                <w:b/>
                <w:sz w:val="20"/>
                <w:szCs w:val="28"/>
                <w:lang w:val="sl-si"/>
              </w:rPr>
              <w:t>Oznaka javnega naročila</w:t>
            </w:r>
          </w:p>
        </w:tc>
        <w:tc>
          <w:tcPr>
            <w:tcW w:w="6394" w:type="dxa"/>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r>
              <w:t>01.6-60/1-22</w:t>
            </w:r>
          </w:p>
        </w:tc>
      </w:tr>
      <w:tr>
        <w:trPr>
          <w:cantSplit w:val="0"/>
          <w:trHeight w:val="0" w:hRule="auto"/>
        </w:trPr>
        <w:tc>
          <w:tcPr>
            <w:tcW w:w="3244" w:type="dxa"/>
            <w:shd w:val="solid" w:color="FDB940" tmshd="1677721856, 0, 4241917"/>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widowControl w:val="0"/>
              <w:rPr>
                <w:rFonts w:ascii="Verdana" w:hAnsi="Verdana"/>
                <w:b/>
                <w:sz w:val="20"/>
                <w:szCs w:val="28"/>
                <w:lang w:val="sl-si"/>
              </w:rPr>
            </w:pPr>
            <w:r>
              <w:rPr>
                <w:rFonts w:ascii="Verdana" w:hAnsi="Verdana"/>
                <w:b/>
                <w:sz w:val="20"/>
                <w:szCs w:val="28"/>
                <w:lang w:val="sl-si"/>
              </w:rPr>
              <w:t>Predmet javnega naročila</w:t>
            </w:r>
          </w:p>
        </w:tc>
        <w:tc>
          <w:tcPr>
            <w:tcW w:w="6394" w:type="dxa"/>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jc w:val="both"/>
              <w:widowControl w:val="0"/>
              <w:rPr>
                <w:rFonts w:ascii="Verdana" w:hAnsi="Verdana"/>
                <w:b/>
                <w:sz w:val="20"/>
                <w:szCs w:val="28"/>
                <w:lang w:val="sl-si"/>
              </w:rPr>
            </w:pPr>
            <w:r>
              <w:rPr>
                <w:rFonts w:ascii="Verdana" w:hAnsi="Verdana"/>
                <w:sz w:val="20"/>
                <w:szCs w:val="20"/>
                <w:lang w:val="sl-si"/>
              </w:rPr>
              <w:t>Uvedba novega, v slovenski zdravstveni prostor integriranega informacijskega sistema za podporo zdravstvu</w:t>
            </w:r>
            <w:r>
              <w:rPr>
                <w:rFonts w:ascii="Verdana" w:hAnsi="Verdana"/>
                <w:b/>
                <w:sz w:val="20"/>
                <w:szCs w:val="28"/>
                <w:lang w:val="sl-si"/>
              </w:rPr>
            </w:r>
          </w:p>
        </w:tc>
      </w:tr>
    </w:tbl>
    <w:p>
      <w:pPr>
        <w:spacing w:after="0" w:line="240" w:lineRule="auto"/>
        <w:jc w:val="both"/>
        <w:rPr>
          <w:rFonts w:ascii="Verdana" w:hAnsi="Verdana"/>
          <w:sz w:val="20"/>
          <w:szCs w:val="28"/>
          <w:lang w:val="sl-si"/>
        </w:rPr>
      </w:pPr>
      <w:r>
        <w:rPr>
          <w:rFonts w:ascii="Verdana" w:hAnsi="Verdana"/>
          <w:sz w:val="20"/>
          <w:szCs w:val="28"/>
          <w:lang w:val="sl-si"/>
        </w:rPr>
      </w:r>
    </w:p>
    <w:p>
      <w:pPr>
        <w:spacing w:after="0" w:line="240" w:lineRule="auto"/>
        <w:jc w:val="both"/>
        <w:rPr>
          <w:rFonts w:ascii="Verdana" w:hAnsi="Verdana"/>
          <w:sz w:val="20"/>
          <w:szCs w:val="28"/>
          <w:lang w:val="sl-si"/>
        </w:rPr>
      </w:pPr>
      <w:r>
        <w:rPr>
          <w:rFonts w:ascii="Verdana" w:hAnsi="Verdana"/>
          <w:sz w:val="20"/>
          <w:szCs w:val="28"/>
          <w:lang w:val="sl-si"/>
        </w:rPr>
      </w:r>
    </w:p>
    <w:p>
      <w:pPr>
        <w:spacing w:after="120" w:line="240" w:lineRule="auto"/>
        <w:jc w:val="both"/>
        <w:rPr>
          <w:rFonts w:ascii="Verdana" w:hAnsi="Verdana"/>
          <w:sz w:val="20"/>
          <w:szCs w:val="28"/>
          <w:lang w:val="sl-si"/>
        </w:rPr>
      </w:pPr>
      <w:r>
        <w:rPr>
          <w:rFonts w:ascii="Verdana" w:hAnsi="Verdana"/>
          <w:b/>
          <w:sz w:val="20"/>
          <w:szCs w:val="28"/>
          <w:lang w:val="sl-si"/>
        </w:rPr>
        <w:t>1. VRSTA, LASTNOSTI, KAKOVOST IN IZGLED PREDMETA JAVNEGA NAROČILA/PONUDBE</w:t>
      </w:r>
      <w:r>
        <w:rPr>
          <w:rFonts w:ascii="Verdana" w:hAnsi="Verdana"/>
          <w:sz w:val="20"/>
          <w:szCs w:val="28"/>
          <w:lang w:val="sl-si"/>
        </w:rPr>
      </w:r>
    </w:p>
    <w:p>
      <w:pPr>
        <w:spacing w:after="120" w:line="240" w:lineRule="auto"/>
        <w:jc w:val="both"/>
        <w:rPr>
          <w:rFonts w:ascii="Verdana" w:hAnsi="Verdana"/>
          <w:b/>
          <w:sz w:val="20"/>
          <w:szCs w:val="28"/>
          <w:lang w:val="sl-si"/>
        </w:rPr>
      </w:pPr>
      <w:r>
        <w:rPr>
          <w:rFonts w:ascii="Verdana" w:hAnsi="Verdana"/>
          <w:b/>
          <w:sz w:val="20"/>
          <w:szCs w:val="28"/>
          <w:lang w:val="sl-si"/>
        </w:rPr>
      </w:r>
    </w:p>
    <w:tbl>
      <w:tblPr>
        <w:tblStyle w:val="TableNormal"/>
        <w:name w:val="Table8"/>
        <w:tabOrder w:val="0"/>
        <w:jc w:val="center"/>
        <w:tblInd w:w="0" w:type="dxa"/>
        <w:tblW w:w="9638" w:type="dxa"/>
        <w:tblLook w:val="04A0" w:firstRow="1" w:lastRow="0" w:firstColumn="1" w:lastColumn="0" w:noHBand="0" w:noVBand="1"/>
      </w:tblPr>
      <w:tblGrid>
        <w:gridCol w:w="9638"/>
      </w:tblGrid>
      <w:tr>
        <w:trPr>
          <w:cantSplit w:val="0"/>
          <w:trHeight w:val="20" w:hRule="atLeast"/>
        </w:trPr>
        <w:tc>
          <w:tcPr>
            <w:tcW w:w="9638" w:type="dxa"/>
            <w:vAlign w:val="center"/>
            <w:shd w:val="solid" w:color="FDB940" tmshd="1677721856, 16777215, 4241917"/>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jc w:val="center"/>
              <w:widowControl w:val="0"/>
              <w:rPr>
                <w:rFonts w:ascii="Verdana" w:hAnsi="Verdana"/>
                <w:lang w:val="sl-si"/>
              </w:rPr>
            </w:pPr>
            <w:r>
              <w:rPr>
                <w:rFonts w:ascii="Verdana" w:hAnsi="Verdana"/>
                <w:b/>
                <w:sz w:val="20"/>
                <w:szCs w:val="28"/>
                <w:lang w:val="sl-si"/>
              </w:rPr>
              <w:t>IZHODIŠČE</w:t>
            </w:r>
            <w:r>
              <w:rPr>
                <w:rFonts w:ascii="Verdana" w:hAnsi="Verdana"/>
                <w:lang w:val="sl-si"/>
              </w:rPr>
            </w:r>
          </w:p>
        </w:tc>
      </w:tr>
      <w:tr>
        <w:trPr>
          <w:cantSplit w:val="0"/>
          <w:trHeight w:val="20" w:hRule="atLeast"/>
        </w:trPr>
        <w:tc>
          <w:tcPr>
            <w:tcW w:w="9638" w:type="dxa"/>
            <w:vAlign w:val="center"/>
            <w:shd w:val="solid" w:color="FFF0D5" tmshd="1677721856, 16777215,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widowControl w:val="0"/>
              <w:rPr>
                <w:rFonts w:ascii="Verdana" w:hAnsi="Verdana"/>
                <w:lang w:val="sl-si"/>
              </w:rPr>
            </w:pPr>
            <w:r>
              <w:rPr>
                <w:rFonts w:ascii="Verdana" w:hAnsi="Verdana"/>
                <w:sz w:val="20"/>
                <w:szCs w:val="28"/>
                <w:lang w:val="sl-si"/>
              </w:rPr>
              <w:t>Naročnik ima že obstoječo HW infrastrukturo in pričakuje, da bo ponujeni IS funkcioniral na navedeni infrastrukturi. Če ponudnik ocenjuje, da naročnikova infrastruktura ne zadošča potrebam ponujenega IS mora ponudnik:</w:t>
            </w:r>
            <w:r>
              <w:rPr>
                <w:rFonts w:ascii="Verdana" w:hAnsi="Verdana"/>
                <w:lang w:val="sl-si"/>
              </w:rPr>
            </w:r>
          </w:p>
          <w:p>
            <w:pPr>
              <w:pStyle w:val="para38"/>
              <w:numPr>
                <w:ilvl w:val="0"/>
                <w:numId w:val="3"/>
              </w:numPr>
              <w:ind w:left="720" w:hanging="360"/>
              <w:spacing w:after="0" w:line="240" w:lineRule="auto"/>
              <w:widowControl w:val="0"/>
              <w:rPr>
                <w:rFonts w:ascii="Verdana" w:hAnsi="Verdana"/>
                <w:lang w:val="sl-si"/>
              </w:rPr>
            </w:pPr>
            <w:r>
              <w:rPr>
                <w:rFonts w:ascii="Verdana" w:hAnsi="Verdana"/>
                <w:sz w:val="20"/>
                <w:szCs w:val="28"/>
                <w:lang w:val="sl-si"/>
              </w:rPr>
              <w:t>v ponujeni ceni implementacije novega IS vključi tudi vso potrebno HW infrastrukturo vključno s postavitvijo, namestitvijo in testnim zagonom HW infrastrukture, da bo ponujena rešitev delovala na lokaciji naročnika ali na drugi lokaciji v okviru EU.</w:t>
            </w:r>
            <w:r>
              <w:rPr>
                <w:rFonts w:ascii="Verdana" w:hAnsi="Verdana"/>
                <w:lang w:val="sl-si"/>
              </w:rPr>
            </w:r>
          </w:p>
          <w:p>
            <w:pPr>
              <w:pStyle w:val="para38"/>
              <w:numPr>
                <w:ilvl w:val="0"/>
                <w:numId w:val="3"/>
              </w:numPr>
              <w:ind w:left="720" w:hanging="360"/>
              <w:spacing w:after="0" w:line="240" w:lineRule="auto"/>
              <w:widowControl w:val="0"/>
              <w:rPr>
                <w:rFonts w:ascii="Verdana" w:hAnsi="Verdana"/>
                <w:lang w:val="sl-si"/>
              </w:rPr>
            </w:pPr>
            <w:r>
              <w:rPr>
                <w:rFonts w:ascii="Verdana" w:hAnsi="Verdana"/>
                <w:sz w:val="20"/>
                <w:szCs w:val="28"/>
                <w:lang w:val="sl-si"/>
              </w:rPr>
              <w:t>v ponudbi ponudi oblačno rešitev pri čemer morajo biti v ponujeni ceni zajeti vsi stroški in licence za navedeno rešitev (naročnik ne bo plačeval dodatnih kapacitet, licenc ipd.). Oblačna rešitev mora biti fizično locirana v območju EU.</w:t>
            </w:r>
            <w:r>
              <w:rPr>
                <w:rFonts w:ascii="Verdana" w:hAnsi="Verdana"/>
                <w:lang w:val="sl-si"/>
              </w:rPr>
            </w:r>
          </w:p>
          <w:p>
            <w:pPr>
              <w:spacing w:after="0" w:line="240" w:lineRule="auto"/>
              <w:widowControl w:val="0"/>
              <w:rPr>
                <w:rFonts w:ascii="Verdana" w:hAnsi="Verdana"/>
                <w:lang w:val="sl-si"/>
              </w:rPr>
            </w:pPr>
            <w:r>
              <w:rPr>
                <w:rFonts w:ascii="Verdana" w:hAnsi="Verdana"/>
                <w:lang w:val="sl-si"/>
              </w:rPr>
            </w:r>
          </w:p>
          <w:p>
            <w:pPr>
              <w:spacing w:after="0" w:line="240" w:lineRule="auto"/>
              <w:widowControl w:val="0"/>
              <w:rPr>
                <w:rFonts w:ascii="Verdana" w:hAnsi="Verdana"/>
                <w:lang w:val="sl-si"/>
              </w:rPr>
            </w:pPr>
            <w:r>
              <w:rPr>
                <w:rFonts w:ascii="Verdana" w:hAnsi="Verdana"/>
                <w:sz w:val="20"/>
                <w:szCs w:val="28"/>
                <w:lang w:val="sl-si"/>
              </w:rPr>
              <w:t>Ponudba mora biti izdelana za rešitev, ki zajema vse funkcionalnosti ne glede na število uporabnikov.</w:t>
            </w:r>
            <w:r>
              <w:rPr>
                <w:rFonts w:ascii="Verdana" w:hAnsi="Verdana"/>
                <w:lang w:val="sl-si"/>
              </w:rPr>
            </w:r>
          </w:p>
          <w:p>
            <w:pPr>
              <w:spacing w:after="0" w:line="240" w:lineRule="auto"/>
              <w:widowControl w:val="0"/>
              <w:rPr>
                <w:rFonts w:ascii="Verdana" w:hAnsi="Verdana"/>
                <w:lang w:val="sl-si"/>
              </w:rPr>
            </w:pPr>
            <w:r>
              <w:rPr>
                <w:rFonts w:ascii="Verdana" w:hAnsi="Verdana"/>
                <w:lang w:val="sl-si"/>
              </w:rPr>
            </w:r>
          </w:p>
          <w:p>
            <w:pPr>
              <w:spacing w:after="0" w:line="240" w:lineRule="auto"/>
              <w:widowControl w:val="0"/>
              <w:rPr>
                <w:rFonts w:ascii="Verdana" w:hAnsi="Verdana"/>
                <w:lang w:val="sl-si"/>
              </w:rPr>
            </w:pPr>
            <w:r>
              <w:rPr>
                <w:rFonts w:ascii="Verdana" w:hAnsi="Verdana"/>
                <w:sz w:val="20"/>
                <w:szCs w:val="28"/>
                <w:lang w:val="sl-si"/>
              </w:rPr>
              <w:t>Skrajni rok za implementacijo (polno funkcionalno produkcijsko stanje sistema) je 12 mesecev od podpisa pogodbe, skupaj s tehnično in uporabniško dokumentacijo ter mobilnimi aplikacijami.</w:t>
            </w:r>
            <w:r>
              <w:rPr>
                <w:rFonts w:ascii="Verdana" w:hAnsi="Verdana"/>
                <w:lang w:val="sl-si"/>
              </w:rPr>
            </w:r>
          </w:p>
          <w:p>
            <w:pPr>
              <w:spacing w:after="0" w:line="240" w:lineRule="auto"/>
              <w:widowControl w:val="0"/>
              <w:rPr>
                <w:rFonts w:ascii="Verdana" w:hAnsi="Verdana"/>
                <w:lang w:val="sl-si"/>
              </w:rPr>
            </w:pPr>
            <w:r>
              <w:rPr>
                <w:rFonts w:ascii="Verdana" w:hAnsi="Verdana"/>
                <w:sz w:val="20"/>
                <w:szCs w:val="28"/>
                <w:lang w:val="sl-si"/>
              </w:rPr>
              <w:t>Stroški migracije so na strani ponudnika in bo ponudnik moral prilagoditi vse potrebno na svoji strani za uvoz podatkov glede na obliko, ki jo bo naročnik prejel iz drugih IS.</w:t>
            </w:r>
            <w:r>
              <w:rPr>
                <w:rFonts w:ascii="Verdana" w:hAnsi="Verdana"/>
                <w:lang w:val="sl-si"/>
              </w:rPr>
            </w:r>
          </w:p>
          <w:p>
            <w:pPr>
              <w:spacing w:after="0" w:line="240" w:lineRule="auto"/>
              <w:widowControl w:val="0"/>
              <w:rPr>
                <w:rFonts w:ascii="Verdana" w:hAnsi="Verdana"/>
                <w:lang w:val="sl-si"/>
              </w:rPr>
            </w:pPr>
            <w:r>
              <w:rPr>
                <w:rFonts w:ascii="Verdana" w:hAnsi="Verdana"/>
                <w:lang w:val="sl-si"/>
              </w:rPr>
            </w:r>
          </w:p>
          <w:p>
            <w:pPr>
              <w:spacing w:after="0" w:line="240" w:lineRule="auto"/>
              <w:widowControl w:val="0"/>
              <w:rPr>
                <w:rFonts w:ascii="Verdana" w:hAnsi="Verdana"/>
                <w:sz w:val="20"/>
                <w:lang w:val="sl-si"/>
              </w:rPr>
            </w:pPr>
            <w:r>
              <w:rPr>
                <w:rFonts w:ascii="Verdana" w:hAnsi="Verdana"/>
                <w:sz w:val="20"/>
                <w:szCs w:val="28"/>
                <w:lang w:val="sl-si"/>
              </w:rPr>
              <w:t>Naročnik bo za vseh 12 mesecev zagotovil sodelovanje koordinatorja projekta 7 ur v delovnem času, ostali kadri pa bodo na razpolago za vsako področje en 1 uro v delovnem času v obdobju, ki je predvideno za analizo stanja na določenem področju, pri čemer se ta čas lahko dogovorno  prerazporeja.</w:t>
            </w:r>
            <w:r>
              <w:rPr>
                <w:rFonts w:ascii="Verdana" w:hAnsi="Verdana"/>
                <w:sz w:val="20"/>
                <w:lang w:val="sl-si"/>
              </w:rPr>
            </w:r>
          </w:p>
          <w:p>
            <w:pPr>
              <w:spacing w:after="0" w:line="240" w:lineRule="auto"/>
              <w:widowControl w:val="0"/>
              <w:rPr>
                <w:rFonts w:ascii="Verdana" w:hAnsi="Verdana"/>
                <w:sz w:val="20"/>
                <w:szCs w:val="28"/>
                <w:lang w:val="sl-si"/>
              </w:rPr>
            </w:pPr>
            <w:r>
              <w:rPr>
                <w:rFonts w:ascii="Verdana" w:hAnsi="Verdana"/>
                <w:sz w:val="20"/>
                <w:szCs w:val="28"/>
                <w:lang w:val="sl-si"/>
              </w:rPr>
            </w:r>
          </w:p>
          <w:p>
            <w:pPr>
              <w:spacing w:after="0" w:line="240" w:lineRule="auto"/>
              <w:widowControl w:val="0"/>
              <w:rPr>
                <w:rFonts w:ascii="Verdana" w:hAnsi="Verdana"/>
                <w:sz w:val="20"/>
                <w:szCs w:val="28"/>
                <w:lang w:val="sl-si"/>
              </w:rPr>
            </w:pPr>
            <w:r>
              <w:rPr>
                <w:rFonts w:ascii="Verdana" w:hAnsi="Verdana"/>
                <w:sz w:val="20"/>
                <w:szCs w:val="28"/>
                <w:lang w:val="sl-si"/>
              </w:rPr>
              <w:t>Ponudnik lahko od posameznih sodelujočih naročnika pričakuje le znanje, ki ustreza strokovnosti njihovih delovnih mest, ne pa znanja, ki ga mora zagotoviti sam. Podatke o drugih sistemih, ki jih uporablja bolnišnica, potrebnih za sinhronizacijo in migracijo, bo priskrbel koordinator projekta.</w:t>
            </w:r>
          </w:p>
          <w:p>
            <w:pPr>
              <w:spacing w:after="0" w:line="240" w:lineRule="auto"/>
              <w:widowControl w:val="0"/>
              <w:rPr>
                <w:rFonts w:ascii="Verdana" w:hAnsi="Verdana"/>
                <w:sz w:val="20"/>
                <w:szCs w:val="28"/>
                <w:lang w:val="sl-si"/>
              </w:rPr>
            </w:pPr>
            <w:r>
              <w:rPr>
                <w:rFonts w:ascii="Verdana" w:hAnsi="Verdana"/>
                <w:sz w:val="20"/>
                <w:szCs w:val="28"/>
                <w:lang w:val="sl-si"/>
              </w:rPr>
            </w:r>
          </w:p>
          <w:p>
            <w:pPr>
              <w:spacing w:after="0" w:line="240" w:lineRule="auto"/>
              <w:widowControl w:val="0"/>
              <w:rPr>
                <w:rFonts w:ascii="Verdana" w:hAnsi="Verdana"/>
                <w:sz w:val="20"/>
                <w:szCs w:val="28"/>
              </w:rPr>
            </w:pPr>
            <w:r>
              <w:rPr>
                <w:rFonts w:ascii="Verdana" w:hAnsi="Verdana"/>
                <w:sz w:val="20"/>
                <w:szCs w:val="28"/>
                <w:lang w:val="sl-si"/>
              </w:rPr>
              <w:t>Priloge: opis organizacije naročnika, stanje obstoječe opreme, vprašalniki.</w:t>
            </w:r>
            <w:r>
              <w:rPr>
                <w:rFonts w:ascii="Verdana" w:hAnsi="Verdana"/>
                <w:sz w:val="20"/>
                <w:szCs w:val="28"/>
              </w:rPr>
            </w:r>
          </w:p>
        </w:tc>
      </w:tr>
    </w:tbl>
    <w:p>
      <w:pPr>
        <w:spacing w:after="120" w:line="240" w:lineRule="auto"/>
        <w:jc w:val="both"/>
        <w:rPr>
          <w:rFonts w:ascii="Verdana" w:hAnsi="Verdana"/>
          <w:b/>
          <w:lang w:val="sl-si"/>
        </w:rPr>
      </w:pPr>
      <w:r>
        <w:rPr>
          <w:rFonts w:ascii="Verdana" w:hAnsi="Verdana"/>
          <w:b/>
          <w:lang w:val="sl-si"/>
        </w:rPr>
      </w:r>
    </w:p>
    <w:p>
      <w:pPr>
        <w:spacing w:after="120" w:line="240" w:lineRule="auto"/>
        <w:jc w:val="both"/>
        <w:rPr>
          <w:rFonts w:ascii="Verdana" w:hAnsi="Verdana"/>
          <w:b/>
          <w:lang w:val="sl-si"/>
        </w:rPr>
      </w:pPr>
      <w:r>
        <w:rPr>
          <w:rFonts w:ascii="Verdana" w:hAnsi="Verdana"/>
          <w:b/>
          <w:lang w:val="sl-si"/>
        </w:rPr>
      </w:r>
    </w:p>
    <w:p>
      <w:pPr>
        <w:spacing w:after="120" w:line="240" w:lineRule="auto"/>
        <w:jc w:val="both"/>
        <w:rPr>
          <w:rFonts w:ascii="Verdana" w:hAnsi="Verdana"/>
          <w:b/>
          <w:lang w:val="sl-si"/>
        </w:rPr>
      </w:pPr>
      <w:r>
        <w:rPr>
          <w:rFonts w:ascii="Verdana" w:hAnsi="Verdana"/>
          <w:b/>
          <w:lang w:val="sl-si"/>
        </w:rPr>
      </w:r>
    </w:p>
    <w:p>
      <w:pPr>
        <w:spacing w:after="120" w:line="240" w:lineRule="auto"/>
        <w:jc w:val="both"/>
        <w:rPr>
          <w:rFonts w:ascii="Verdana" w:hAnsi="Verdana"/>
          <w:b/>
          <w:lang w:val="sl-si"/>
        </w:rPr>
      </w:pPr>
      <w:r>
        <w:rPr>
          <w:rFonts w:ascii="Verdana" w:hAnsi="Verdana"/>
          <w:b/>
          <w:lang w:val="sl-si"/>
        </w:rPr>
      </w:r>
    </w:p>
    <w:p>
      <w:pPr>
        <w:spacing w:after="120" w:line="240" w:lineRule="auto"/>
        <w:jc w:val="both"/>
        <w:rPr>
          <w:rFonts w:ascii="Verdana" w:hAnsi="Verdana"/>
          <w:b/>
          <w:lang w:val="sl-si"/>
        </w:rPr>
      </w:pPr>
      <w:r>
        <w:rPr>
          <w:rFonts w:ascii="Verdana" w:hAnsi="Verdana"/>
          <w:b/>
          <w:lang w:val="sl-si"/>
        </w:rPr>
      </w:r>
    </w:p>
    <w:tbl>
      <w:tblPr>
        <w:tblStyle w:val="TableNormal"/>
        <w:name w:val="Table9"/>
        <w:tabOrder w:val="0"/>
        <w:jc w:val="center"/>
        <w:tblInd w:w="0" w:type="dxa"/>
        <w:tblW w:w="9638" w:type="dxa"/>
        <w:tblLook w:val="04A0" w:firstRow="1" w:lastRow="0" w:firstColumn="1" w:lastColumn="0" w:noHBand="0" w:noVBand="1"/>
      </w:tblPr>
      <w:tblGrid>
        <w:gridCol w:w="1291"/>
        <w:gridCol w:w="8347"/>
      </w:tblGrid>
      <w:tr>
        <w:trPr>
          <w:cantSplit w:val="0"/>
          <w:trHeight w:val="20" w:hRule="atLeast"/>
        </w:trPr>
        <w:tc>
          <w:tcPr>
            <w:tcW w:w="9638" w:type="dxa"/>
            <w:gridSpan w:val="2"/>
            <w:vAlign w:val="center"/>
            <w:shd w:val="solid" w:color="FDB940" tmshd="1677721856, 0, 4241917"/>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jc w:val="both"/>
              <w:widowControl w:val="0"/>
              <w:rPr>
                <w:rFonts w:ascii="Verdana" w:hAnsi="Verdana"/>
                <w:sz w:val="20"/>
                <w:szCs w:val="28"/>
                <w:lang w:val="sl-si"/>
              </w:rPr>
            </w:pPr>
            <w:r>
              <w:rPr>
                <w:rFonts w:ascii="Verdana" w:hAnsi="Verdana"/>
                <w:b/>
                <w:sz w:val="20"/>
                <w:szCs w:val="28"/>
                <w:lang w:val="sl-si"/>
              </w:rPr>
              <w:t>SPLOŠNE ZAHTEVE GLEDE PONUJENE REŠITVE</w:t>
            </w:r>
            <w:r>
              <w:rPr>
                <w:rFonts w:ascii="Verdana" w:hAnsi="Verdana"/>
                <w:sz w:val="20"/>
                <w:szCs w:val="28"/>
                <w:lang w:val="sl-si"/>
              </w:rPr>
            </w:r>
          </w:p>
        </w:tc>
      </w:tr>
      <w:tr>
        <w:trPr>
          <w:cantSplit w:val="0"/>
          <w:trHeight w:val="20" w:hRule="atLeast"/>
        </w:trPr>
        <w:tc>
          <w:tcPr>
            <w:tcW w:w="1291" w:type="dxa"/>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numPr>
                <w:ilvl w:val="0"/>
                <w:numId w:val="1"/>
              </w:numPr>
              <w:ind w:left="720" w:hanging="360"/>
              <w:spacing w:after="0" w:line="240" w:lineRule="auto"/>
              <w:jc w:val="center"/>
              <w:widowControl w:val="0"/>
              <w:rPr>
                <w:rFonts w:ascii="Verdana" w:hAnsi="Verdana"/>
                <w:b/>
                <w:bCs/>
                <w:sz w:val="20"/>
                <w:szCs w:val="28"/>
                <w:lang w:val="sl-si"/>
              </w:rPr>
            </w:pPr>
            <w:r>
              <w:rPr>
                <w:rFonts w:ascii="Verdana" w:hAnsi="Verdana"/>
                <w:b/>
                <w:bCs/>
                <w:sz w:val="20"/>
                <w:szCs w:val="28"/>
                <w:lang w:val="sl-si"/>
              </w:rPr>
            </w:r>
          </w:p>
        </w:tc>
        <w:tc>
          <w:tcPr>
            <w:tcW w:w="8347" w:type="dxa"/>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widowControl w:val="0"/>
              <w:rPr>
                <w:rFonts w:ascii="Verdana" w:hAnsi="Verdana"/>
                <w:b/>
                <w:bCs/>
                <w:sz w:val="20"/>
                <w:szCs w:val="28"/>
                <w:lang w:val="sl-si"/>
              </w:rPr>
            </w:pPr>
            <w:r>
              <w:rPr>
                <w:rFonts w:ascii="Verdana" w:hAnsi="Verdana"/>
                <w:b/>
                <w:bCs/>
                <w:sz w:val="20"/>
                <w:szCs w:val="28"/>
                <w:lang w:val="sl-si"/>
              </w:rPr>
              <w:t>AMBULANTNO SPECIALISTIČNI INFORMACIJSKI SISTEM (vključno s primarno dejavnostjo, ki se izvaja v SB Ptuj, kot npr. dispanzer za žene, razvojna ambulanta itd.)</w:t>
            </w:r>
          </w:p>
        </w:tc>
      </w:tr>
      <w:tr>
        <w:trPr>
          <w:cantSplit w:val="0"/>
          <w:trHeight w:val="20" w:hRule="atLeast"/>
        </w:trPr>
        <w:tc>
          <w:tcPr>
            <w:tcW w:w="9638" w:type="dxa"/>
            <w:gridSpan w:val="2"/>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Matični podatki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Registracija in sprejem pacientov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Spremljanje pacientov v specialističnih ambulantah (elektronska kartoteka pacienta)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Naročanje in obveščanje pacientov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Priprava izvidov v elektronski obliki z vključenim elektronskim podpisom in akreditirano eHrambo pri Arhivu Republike Slovenije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pripenjanja dokumentov tipa .pdf k obravnavam</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Vključene rešitve eZdravje ( e-recepti, e-napotnice, CRPP,….)</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Obračun s specifikami značilnimi za Slovenijo (povezava s FURS, eRačuni, ZZZS izdatki)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Obračun tržne dejavnosti (vsi tipi plačnikov – fizične, pravne osebe itn.)</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Analitika in statistična poročila z vključenimi specifikami za Slovenijo (ZUBSTAT,…)</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Povezava z drugimi institucijami (Mikrobiološkimi laboratoriji).</w:t>
            </w:r>
          </w:p>
        </w:tc>
      </w:tr>
      <w:tr>
        <w:trPr>
          <w:cantSplit w:val="0"/>
          <w:trHeight w:val="20" w:hRule="atLeast"/>
        </w:trPr>
        <w:tc>
          <w:tcPr>
            <w:tcW w:w="1291" w:type="dxa"/>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numPr>
                <w:ilvl w:val="0"/>
                <w:numId w:val="1"/>
              </w:numPr>
              <w:ind w:left="720" w:hanging="360"/>
              <w:spacing w:after="0" w:line="240" w:lineRule="auto"/>
              <w:jc w:val="center"/>
              <w:widowControl w:val="0"/>
              <w:rPr>
                <w:rFonts w:ascii="Verdana" w:hAnsi="Verdana"/>
                <w:b/>
                <w:bCs/>
                <w:sz w:val="20"/>
                <w:szCs w:val="28"/>
                <w:lang w:val="sl-si"/>
              </w:rPr>
            </w:pPr>
            <w:r>
              <w:rPr>
                <w:rFonts w:ascii="Verdana" w:hAnsi="Verdana"/>
                <w:b/>
                <w:bCs/>
                <w:sz w:val="20"/>
                <w:szCs w:val="28"/>
                <w:lang w:val="sl-si"/>
              </w:rPr>
            </w:r>
          </w:p>
        </w:tc>
        <w:tc>
          <w:tcPr>
            <w:tcW w:w="8347" w:type="dxa"/>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widowControl w:val="0"/>
              <w:rPr>
                <w:rFonts w:ascii="Verdana" w:hAnsi="Verdana"/>
                <w:b/>
                <w:bCs/>
                <w:sz w:val="20"/>
                <w:szCs w:val="28"/>
                <w:lang w:val="sl-si"/>
              </w:rPr>
            </w:pPr>
            <w:r>
              <w:rPr>
                <w:rFonts w:ascii="Verdana" w:hAnsi="Verdana"/>
                <w:b/>
                <w:bCs/>
                <w:sz w:val="20"/>
                <w:szCs w:val="28"/>
                <w:lang w:val="sl-si"/>
              </w:rPr>
              <w:t>BOLNIŠNIČNI ODDELKI</w:t>
            </w:r>
          </w:p>
        </w:tc>
      </w:tr>
      <w:tr>
        <w:trPr>
          <w:cantSplit w:val="0"/>
          <w:trHeight w:val="20" w:hRule="atLeast"/>
        </w:trPr>
        <w:tc>
          <w:tcPr>
            <w:tcW w:w="9638" w:type="dxa"/>
            <w:gridSpan w:val="2"/>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Matični podatki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Registracija in sprejem pacientov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Spremljanje pacientov na oddelkih (elektronska kartoteka pacienta)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Nameščanje pacientov v sobe in postelje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Zdravstvena nega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Prehrana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Naročanje na terapije, preiskave in obveščanje pacientov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Priprava dokumentacije v elektronski obliki z vključenim elektronskim podpisom in akreditirano eHrambo pri Arhivu Republike Slovenije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pripenjanja dokumentov tipa .pdf k obravnavam</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Vključene rešitve eZdravje (e-recepti, e-napotnice, eBOL, CRPP)</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Obračun s specifikami značilnimi za Slovenijo (povezava s FURS, eRačuni, ZZZS izdatki, SPP simulacija)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Obračun tržne dejavnosti (vsi tipi plačnikov – fizične, pravne osebe itn.)</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Analitika in statistična poročila z vključenimi specifikami za Slovenijo (SBO,…)</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Povezava z drugimi institucijami (Mikrobiološkimi laboratoriji).</w:t>
            </w:r>
          </w:p>
        </w:tc>
      </w:tr>
      <w:tr>
        <w:trPr>
          <w:cantSplit w:val="0"/>
          <w:trHeight w:val="20" w:hRule="atLeast"/>
        </w:trPr>
        <w:tc>
          <w:tcPr>
            <w:tcW w:w="1291" w:type="dxa"/>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numPr>
                <w:ilvl w:val="0"/>
                <w:numId w:val="1"/>
              </w:numPr>
              <w:ind w:left="720" w:hanging="360"/>
              <w:spacing w:after="0" w:line="240" w:lineRule="auto"/>
              <w:jc w:val="center"/>
              <w:widowControl w:val="0"/>
              <w:rPr>
                <w:rFonts w:ascii="Verdana" w:hAnsi="Verdana"/>
                <w:b/>
                <w:sz w:val="20"/>
                <w:szCs w:val="20"/>
                <w:lang w:val="sl-si"/>
              </w:rPr>
            </w:pPr>
            <w:r>
              <w:rPr>
                <w:rFonts w:ascii="Verdana" w:hAnsi="Verdana"/>
                <w:b/>
                <w:sz w:val="20"/>
                <w:szCs w:val="20"/>
                <w:lang w:val="sl-si"/>
              </w:rPr>
            </w:r>
          </w:p>
        </w:tc>
        <w:tc>
          <w:tcPr>
            <w:tcW w:w="8347" w:type="dxa"/>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widowControl w:val="0"/>
              <w:rPr>
                <w:rFonts w:ascii="Verdana" w:hAnsi="Verdana"/>
                <w:b/>
                <w:sz w:val="20"/>
                <w:szCs w:val="20"/>
                <w:lang w:val="sl-si"/>
              </w:rPr>
            </w:pPr>
            <w:r>
              <w:rPr>
                <w:rFonts w:ascii="Verdana" w:hAnsi="Verdana" w:cs="Calibri"/>
                <w:b/>
                <w:sz w:val="20"/>
                <w:szCs w:val="20"/>
              </w:rPr>
              <w:t>SPREMLJANJE IN IZVEDBA TERAPIJE</w:t>
            </w:r>
            <w:r>
              <w:rPr>
                <w:rFonts w:ascii="Verdana" w:hAnsi="Verdana"/>
                <w:b/>
                <w:sz w:val="20"/>
                <w:szCs w:val="20"/>
                <w:lang w:val="sl-si"/>
              </w:rPr>
            </w:r>
          </w:p>
        </w:tc>
      </w:tr>
      <w:tr>
        <w:trPr>
          <w:cantSplit w:val="0"/>
          <w:trHeight w:val="20" w:hRule="atLeast"/>
        </w:trPr>
        <w:tc>
          <w:tcPr>
            <w:tcW w:w="9638" w:type="dxa"/>
            <w:gridSpan w:val="2"/>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Planiranje in razporejanje terapij</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Izvedba planiranih terapij</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Vnos meritev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Analitika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Obračun s specifikami značilnimi za Slovenijo (povezava s FURS, eRačuni, ZZZS izdatki)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Obračun tržne dejavnosti (vsi tipi plačnikov – fizične, pravne osebe itn.)</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Analitika in statistična poročila z vključenimi specifikami za Slovenijo</w:t>
            </w:r>
          </w:p>
        </w:tc>
      </w:tr>
      <w:tr>
        <w:trPr>
          <w:cantSplit w:val="0"/>
          <w:trHeight w:val="20" w:hRule="atLeast"/>
        </w:trPr>
        <w:tc>
          <w:tcPr>
            <w:tcW w:w="9638" w:type="dxa"/>
            <w:gridSpan w:val="2"/>
            <w:vAlign w:val="center"/>
            <w:shd w:val="solid" w:color="FDB940" tmshd="1677721856, 0, 4241917"/>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jc w:val="both"/>
              <w:widowControl w:val="0"/>
              <w:rPr>
                <w:rFonts w:ascii="Verdana" w:hAnsi="Verdana"/>
                <w:sz w:val="20"/>
                <w:szCs w:val="28"/>
                <w:lang w:val="sl-si"/>
              </w:rPr>
            </w:pPr>
            <w:r>
              <w:rPr>
                <w:rFonts w:ascii="Verdana" w:hAnsi="Verdana"/>
                <w:b/>
                <w:sz w:val="20"/>
                <w:szCs w:val="28"/>
                <w:lang w:val="sl-si"/>
              </w:rPr>
              <w:t>PODROBNE ZAHTEVE GLEDE PONUJENE REŠITVE</w:t>
            </w:r>
            <w:r>
              <w:rPr>
                <w:rFonts w:ascii="Verdana" w:hAnsi="Verdana"/>
                <w:sz w:val="20"/>
                <w:szCs w:val="28"/>
                <w:lang w:val="sl-si"/>
              </w:rPr>
            </w:r>
          </w:p>
        </w:tc>
      </w:tr>
      <w:tr>
        <w:trPr>
          <w:cantSplit w:val="0"/>
          <w:trHeight w:val="20" w:hRule="atLeast"/>
        </w:trPr>
        <w:tc>
          <w:tcPr>
            <w:tcW w:w="1291" w:type="dxa"/>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widowControl w:val="0"/>
              <w:rPr>
                <w:rFonts w:ascii="Verdana" w:hAnsi="Verdana"/>
                <w:b/>
                <w:bCs/>
                <w:sz w:val="20"/>
                <w:szCs w:val="28"/>
                <w:lang w:val="sl-si"/>
              </w:rPr>
            </w:pPr>
            <w:r>
              <w:rPr>
                <w:rFonts w:ascii="Verdana" w:hAnsi="Verdana"/>
                <w:b/>
                <w:bCs/>
                <w:sz w:val="20"/>
                <w:szCs w:val="28"/>
                <w:lang w:val="sl-si"/>
              </w:rPr>
              <w:t>1.</w:t>
            </w:r>
          </w:p>
        </w:tc>
        <w:tc>
          <w:tcPr>
            <w:tcW w:w="8347" w:type="dxa"/>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widowControl w:val="0"/>
              <w:rPr>
                <w:rFonts w:ascii="Verdana" w:hAnsi="Verdana"/>
                <w:b/>
                <w:bCs/>
                <w:sz w:val="20"/>
                <w:szCs w:val="28"/>
                <w:lang w:val="sl-si"/>
              </w:rPr>
            </w:pPr>
            <w:r>
              <w:rPr>
                <w:rFonts w:ascii="Verdana" w:hAnsi="Verdana"/>
                <w:b/>
                <w:bCs/>
                <w:sz w:val="20"/>
                <w:szCs w:val="28"/>
                <w:lang w:val="sl-si"/>
              </w:rPr>
              <w:t>AMBULANTNO SPECIALISTIČNI INFORMACIJSKI SISTEM</w:t>
            </w:r>
          </w:p>
        </w:tc>
      </w:tr>
      <w:tr>
        <w:trPr>
          <w:cantSplit w:val="0"/>
          <w:trHeight w:val="20" w:hRule="atLeast"/>
        </w:trPr>
        <w:tc>
          <w:tcPr>
            <w:tcW w:w="9638" w:type="dxa"/>
            <w:gridSpan w:val="2"/>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Matični podatki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Registracija in sprejem</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Ročni sprejem in registracija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Branje profesionalne kartice zdravstvenega delavca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Branje kartice zdravstvenega zavarovanja pacienta (KZZ)</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iskanja ali vnosa pacienta brez KZZ, povezava on-line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Kreiranje obravnave v določeni ambulanti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Avtomatiziran sprejem in registracija s pomočjo terminala za samoregistracijo pacienta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Vnos različnih vrst specialističnega. pregleda in analize posameznih pregledov (prvi, kontrolni, razširjeni specialistični pregled, odpust, diagnostični pregledi,…, fiz. pregled za amb. zdr., samoplačniški posveti, ..) po zdravnikih oz. specialistih</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Možnosti prehoda iz ene ambulante v drugo</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Odprte obravnave vidne na dnevni delovni listi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V naboru plačnika, več možnosti izbire (samoplačniki, pogodbe, ZZZS,…)</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analiz pregledov glede na vrsto pregleda, zneskih na pacienta, po zdravnikih</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Vnos kadrov in ur in analize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Specialistične ambulante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Pisanje izvidov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spremljanja zvočnega zapisa z že obstoječimi digitalnimi diktafoni, analize napisanih izvidov po zaposlenih, čakajoči diktirani izvidi na zapis, analize učinkovitosti kadra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Integracija s sistemom za razpoznavo govora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pripravo sinonimov, v naprej pripravljenih predlog</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uporabo črkovalnika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prenos posameznega ali več izvidov spremljajočega zdravljenja pacienta v tekst izvida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avtomatski prenos enega ali več izvidov spremljajočega zdravljenja pacienta na tiskan izvid</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elektronski podpis izvida in hrambo tega dokumenta v arhivu, ki je akreditiran pri arhivu Republike Slovenije. Izvedba in proces podpisovanja dokumentacije ja neposredno integrirana v sam zdravstveni informacijski sistem.</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pacientu dostop do izvidov na varen način, preko elektronskega portala za paciente (brez pošiljanja izvida po elektronski poti)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primerjanje več različnih izvidov na enem ali več ekranih (do 4 izvide)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Pregled izvidov pacienta, arhiv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vnosa kritičnih podatkov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Zdravstveni informacijski sistem mora imeti brezšivno integriran specialni modul za Antikoagulantno zdravljenje, modul mora biti povezan s sistemom za avtomatsko registracijo pacienta preko samopostrežnih terminalov, neposrednim avtomatskim naročilom v laboratorij iz katerega se nato rezultati prikažejo v modulu za Antikoagulantno zdravljenje, v katerem program na osnovi laboratorijskih rezultatov predlaga shemo zdravljenja pacienta.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Zdravstveni informacijski sistem mora imeti brezšivno integriran modul za spremljanje pacientov v urgentnih centrih. Sistem mora biti povezan za avtomatsko registracijo preko samopostrežnih terminalov, integriran sistem za triažo pacienta (tudi eTriažo) in razporejanje pacientov na delovišča oz. ambulante, ter prikaz razporejenih pacientov na TV zaslonih pred ambulantami oz. v čakalnici.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Naročanje in obveščanje pacientov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Naročanje na podlagi definiranih urnikov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naročanje pacientov z omejitvami glede na določeno maksimalno in povprečno število pacientov predvidenih za posamezni termin</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naročanje več pacientov na isto uro</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naročanje več pacientov na začetno uro</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naročanje pacientov na posamezni termin glede na spol pacienta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naročanje pacientov z omejitvami glede na vrsto naročenega pregleda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naročanje pacientov z omejitvami glede na enoto naročanja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oznako prostora, kjer se pregled izvaja in izpis ustreznih navodil z napotki za smer poti do ambulante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naročanje za samoplačniške storitve, preko spletne aplikacije neposredno na termin</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Pacientu preko spletne aplikacije omogočiti naročanje na videokonferenčno konzultacijo z zdravnikom neposredno na v zato določen termin neposredno v aplikacijo zdravstvenega IS</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naročanje storitev »privatnih« zavarovalnic neposredno v za to v naprej predvidene termine zdravstvenega informacijskega sistema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Omogočena nastavitev dovoljenj na nivoju uporabnika za naročanje v odvisnosti od posameznih terminov, definiranih v podlagi za urnik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Omogočene nastavitve dovoljenj na nivoju uporabnika za naročanje, ki bodo  uporabniku omogočale zgolj dodajanje naročil ali pa dodajanje in popravljanje že zavedenih naročil</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Omogočene nastavitve dovoljenj na nivoju organizacijske enote za naročanje v termine, rezervirane za točno določene naročnike, kar bo opredeljeno v podlagi za urnik</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Da podpira poljubno nastavitev podlage za urnik tako, da bo možno definirati različne dolžine posameznih razpoložljivih terminov znotraj enega urnika v okviru dneva na nivoju določene organizacijske enote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Da podpira poljubno nastavljanje podlage za urnik tako, da bo možno definirati poljubno število odmorov znotraj enega urnika v okviru dneva na nivoju določene organizacijske enote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Naročanje pacientov glede na specifike in vključevanje zakonitosti predpisanih s strani NIJZ in MZ (eNaročanje)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Obveščanje pacientov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avtomatsko SMS obveščanje naročenih pacientov o terminih, o spremembah terminov neposredno iz aplikacije zdravstvenega IS</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pošiljanje poljubnih SMS in sporočil pacientu neposredno iz bolnišničnega informacijskega sistema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masovno pošiljanje SMS obvestil za paciente, ki so naročeni v čakalno knjigo</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obveščanje naročenih pacientov preko elektronske pošte neposredno iz aplikacije zdravstvenega IS</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eRecept</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Modul e-recepti mora omogočati predpis zdravila iz stalne terapije, CBZ, šifranta standardiziranih magistralnih pripravkov, INN (omejitve predpisa – CBZ opozorila, alergije, …) in vnos podatkov predpisa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Modul e-recepti mora omogočati  preverjanje interakcij (ne potrebuje vnosa podatkov predpisa, dovolj zdravilo/učinkovine)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Modul e-recepti mora omogočati  preverjanje kontraindikacij</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Modul e-recepti mora omogočati pošiljanje v EER: preverjanje ustreznosti in vizualizacija predpisov, podpisovanje paketa in pošiljanje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vzporednega tiskanja receptov in elektronsko pošiljanje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Omogočena vizualizacija predpisa pred končnim pošiljanjem</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digitalnega podpisa e-recepta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Omogočena aktivnost preklica (stornacije) predpisa s strani določenih oseb</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vnosa zdravil z že vnesenimi podatki pacienta, org. enote in zdravnika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Omogočene kontrole in opozorila ob izbiranju</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Pacient s predpisano stalno terapijo lahko zahtevo za podaljšanje terapije sporoči zdravniku preko spletne aplikacije, zdravnik pa ta zahtevek prejme neposredno v zdravstveni IS in samo podaljša terapijo, ki jo nato pacient prejme v obliki predpisa na eRecept</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eNapotnica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Vnos eNapotnice (administrativni + medicinski del) za napotitev na sekundarno raven zdravstvene dejavnosti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Pošiljanje napotnic v CSN (centralni sistem napotnic)</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Dodajanje prilog eNapotnici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Pregled napotnic, izdanih v naši ustanovi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Dopolnjevanje eNapotnic</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Elektronsko podpisovanje eNapotnice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Stornacija eNapotnice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Omogočeno tiskanje eNapotnice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Posredovanje fizičnih napotnic v elektronski obliki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Ob prihodu pacienta na spec. obravnavo v org. enoto – prikaz e-napotnice napotenega zdravnika in uparitev z naročenim terminom</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Omogočanje eNaročanja za določeno storitev, določene ambulante in določene organizacijske enote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Izpisi in analize (izpisi kot npr. obvestilo zdravniku, zdravniško potrdilo, spremni list za mikrobiološke preiskave, potrdilo zdravljenja bolnišnice, nalepke za kuverte in nalepke za sprejem)</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Analiza pacientov po vnesenih diagnozah za različna časovna obdobja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Analiza po pošiljateljih – posebej ustanove, posredniki, pošiljatelji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Analiza samoplačniških storitev po zdravnikih, ambulantah, specialnostih</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Analize bivanj po vrsti plačnika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Analitika naročenih pacientov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Analitika strokovnih podatkov (diagnoze, postopki, zdravila, terapije)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Analitika poslovnih podatkov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Obračun in fakturiranje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Upoštevanje vseh značilnosti in specifike obračuna Republike Slovenije (ZZZS Izdatki)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izdaje predračuna in avansnih plačil ter avtomatski prenos na obračun</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vnosa samoplačniških storitev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vnosa plačil za podjetja in zavode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vnosa različnih vrst plačil na isto obravnavo pacienta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Omogočeno pošiljanje računov na FURS</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Omogočeno pošiljanje eRačunov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Omogočena uporaba in upoštevanje tako imenovanih »loyalty« kartic</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Omogočanje elektronski prenos podatkov o izdanih fakturah v naročnikov finančni informacijski sistem (odvisno od sistema uporabnika- predvidena splošna temeljnica)</w:t>
            </w:r>
          </w:p>
        </w:tc>
      </w:tr>
      <w:tr>
        <w:trPr>
          <w:cantSplit w:val="0"/>
          <w:trHeight w:val="20" w:hRule="atLeast"/>
        </w:trPr>
        <w:tc>
          <w:tcPr>
            <w:tcW w:w="1291" w:type="dxa"/>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widowControl w:val="0"/>
              <w:rPr>
                <w:rFonts w:ascii="Verdana" w:hAnsi="Verdana"/>
                <w:b/>
                <w:bCs/>
                <w:sz w:val="20"/>
                <w:szCs w:val="28"/>
                <w:lang w:val="sl-si"/>
              </w:rPr>
            </w:pPr>
            <w:r>
              <w:rPr>
                <w:rFonts w:ascii="Verdana" w:hAnsi="Verdana"/>
                <w:b/>
                <w:bCs/>
                <w:sz w:val="20"/>
                <w:szCs w:val="28"/>
                <w:lang w:val="sl-si"/>
              </w:rPr>
              <w:t>2.</w:t>
            </w:r>
          </w:p>
        </w:tc>
        <w:tc>
          <w:tcPr>
            <w:tcW w:w="8347" w:type="dxa"/>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widowControl w:val="0"/>
              <w:rPr>
                <w:rFonts w:ascii="Verdana" w:hAnsi="Verdana"/>
                <w:b/>
                <w:bCs/>
                <w:sz w:val="20"/>
                <w:szCs w:val="28"/>
                <w:lang w:val="sl-si"/>
              </w:rPr>
            </w:pPr>
            <w:r>
              <w:rPr>
                <w:rFonts w:ascii="Verdana" w:hAnsi="Verdana"/>
                <w:b/>
                <w:bCs/>
                <w:sz w:val="20"/>
                <w:szCs w:val="28"/>
                <w:lang w:val="sl-si"/>
              </w:rPr>
              <w:t>BOLNIŠNIČNI ODDELKI</w:t>
            </w:r>
          </w:p>
        </w:tc>
      </w:tr>
      <w:tr>
        <w:trPr>
          <w:cantSplit w:val="0"/>
          <w:trHeight w:val="20" w:hRule="atLeast"/>
        </w:trPr>
        <w:tc>
          <w:tcPr>
            <w:tcW w:w="9638" w:type="dxa"/>
            <w:gridSpan w:val="2"/>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Pregled pacientov po sobah, možnost razporejanja pacienta iz sobe v sobo</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Kategorizacija bolnikov v zdravstveni negi enkrat dnevno, z vnosom določene vrste izolacije, pri čemer bodo zajeti tudi podatki o številu zaposlenih dopoldan, popoldan in ponoči in analize: dnevne, letne z izračuni kadra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Kategorizacija bolnikov v intenzivnih enotah po točkovalnem sistemu TISS28</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Lestvica ocene ogroženosti tveganja za padec – Morse, aktivnosti, beleženje padca, analiza za Kazalnike kakovosti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Ocena ogroženosti za RZP-razjede zaradi pritiska, lokacija, predvidene aktivnosti, oskrba rane, vnos zaposlenega in analiza podatkov za Kazalnike kakovosti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Lestvica FIM – ocenitev fiz. funkcionalnosti, izpolnjevanje ločeno po vnaprej določenih skupinah zaposlenih, onemogočen vnos podatkov nepooblaščeni skupini zaposlenih, vnos zaposlenega, ki je lestvico izpolnjeval glede na poklicno skupino in analize za Kazalnike kakovosti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Rešitev mora omogočati spremljanje tujkov, kot so (žilni, dializni, urinski kateter), kirurških in kroničnih ran in spremljanje oviranosti pacienta (posebni varovalni ukrepi – PVU) – vnos podatkov o uvedbi, spremljanje (lahko tudi preko več obiskov pacienta), okužbah, ter njihova analiza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Naročanje prehrane (diete, omejitve, dodatki,….)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vnosa posebnosti na pacienta - predaja službe z možnostjo tiskanja vnesenih podatkov po sobah in pacientih</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Možnost vnosa zdravila, materiala, pripomočka,…. na pacienta s podatkom količine, oblike, načinom, cene – možen kasnejši obračun ob zaključku obravnave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vnosa odvzema brisov na nadzorne kužnine in analiza podatkov za Kazalnike kakovosti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Rešitev mora omogočati elektronsko naročanje vzorcev o nadzornih kužninah neposredno iz zdravstvenega informacijskega sistema v interni ali zunanji laboratorij, podatki in rezultati morajo biti vidni neposredno v sistemu</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Rešitev mora omogočati elektronsko naročanje vzorcev COVID19 oz naročanje na mikrobiološke preiskave neposredno iz zdravstvenega informacijskega sistema v interni ali zunanji laboratorij, podatki in rezultati morajo biti vidni neposredno v sistemu</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spremljanja podatkov o bolnišničnih okužbah pacientov, seznami in analize vezane na obdobje, s sobami in pacienti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Pisanje dokumentacije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spremljanja zvočnega zapisa z digitalnimi diktafoni, analize zapisov po zaposlenih, čakajoči diktati na zapis, analize učinkovitosti kadra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Integracija s sistemom za razpoznavo govora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pripravo sinonimov, v naprej pripravljenih predlog</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uporabo črkovalnika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prenos posameznega ali več izvidov spremljajočega zdravljenja pacienta v tekst odpustnega dokumenta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avtomatski prenos enega ali več izvidov spremljajočega zdravljenja pacienta na odpustnico</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elektronski podpis izvida in hrambo tega dokumenta v arhivu, ki je akreditiran pri arhivu Republike Slovenije. Izvedba in proces podpisovanja dokumentacije mora biti neposredno integrirana v sam zdravstveni informacijski sistem.</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pacientu dostop do izvidov na varen način, preko elektronskega portala za paciente (brez pošiljanja izvida po elektronski poti)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primerjanje več različnih izvidov na enem ali več ekranih (do 4 izvide)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Pregled pacientov po oddelkih</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Omogočiti elektronsko naročanje na preiskave, preglede, meritve.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naročanje na konziljarne preglede, druga mnenja, posvete, v okviru bolnišničnega informacijskega sistema.</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V okviru bolnišničnega informacijskega sistema omogočiti naročanje na radiološke preiskave s pomočjo grafičnega vmesnika, ki ponazarja človeško telo in z izbiro organa ali dela telesa izbrati ustrezno preiskavo. Tako imenovano body-part naročanje.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elektronsko naročanje na kirurške posege v okviru bolnišničnega informacijskega sistema na termine oz. v vrsto, v kolikor je število čakajočih daljše od razporeda oz. planiranih urnikov.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Za posege je potrebno omogočiti razporejanje po operacijskih dvoranah oz. operaterjih, na osnovi principa drag &amp; drop.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planiranja ekipe po operacijskih dvoranah, možnost vnosa odsotnosti za člane ekipe.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Omogočiti prikaz operativnega protokola z informacijo o operaterjih, posegih na TV zaslonih (plan operacij)</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hkratnega vnosa podatkov operativnega zapisnika različnih udeležencev v procesu izvajanja operacije (npr. operater, anesteziolog, sestre in predoperativna ZN).</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Sistem za spremljanje operativnih posegov mora imeti vključene varnostne protokole, kot so varnostni program pred uvodom v anestezijo, pred kirurškim rezom in pred premestitvijo iz OP dvorane.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Seznami in analize gibanja pacientov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Seznami in analize ležečih pacientov, planiranih na sprejem, planiranih za odpust</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Analitika po deloviščih (kot npr. čas prihoda v OP, čas odhoda iz OP, čas anestezije, perioperativni čas).</w:t>
            </w:r>
          </w:p>
        </w:tc>
      </w:tr>
      <w:tr>
        <w:trPr>
          <w:cantSplit w:val="0"/>
          <w:trHeight w:val="20" w:hRule="atLeast"/>
        </w:trPr>
        <w:tc>
          <w:tcPr>
            <w:tcW w:w="1291" w:type="dxa"/>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widowControl w:val="0"/>
              <w:rPr>
                <w:rFonts w:ascii="Verdana" w:hAnsi="Verdana"/>
                <w:b/>
                <w:sz w:val="20"/>
                <w:szCs w:val="28"/>
                <w:lang w:val="sl-si"/>
              </w:rPr>
            </w:pPr>
            <w:r>
              <w:rPr>
                <w:rFonts w:ascii="Verdana" w:hAnsi="Verdana"/>
                <w:b/>
                <w:sz w:val="20"/>
                <w:szCs w:val="28"/>
                <w:lang w:val="sl-si"/>
              </w:rPr>
              <w:t>3</w:t>
            </w:r>
          </w:p>
        </w:tc>
        <w:tc>
          <w:tcPr>
            <w:tcW w:w="8347" w:type="dxa"/>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widowControl w:val="0"/>
              <w:rPr>
                <w:rFonts w:ascii="Verdana" w:hAnsi="Verdana"/>
                <w:b/>
                <w:sz w:val="20"/>
                <w:szCs w:val="28"/>
                <w:lang w:val="sl-si"/>
              </w:rPr>
            </w:pPr>
            <w:r>
              <w:rPr>
                <w:rFonts w:ascii="Verdana" w:hAnsi="Verdana"/>
                <w:b/>
                <w:sz w:val="20"/>
                <w:lang w:val="sl-si"/>
              </w:rPr>
              <w:t>SPREMLJANJE IN IZVEDBA TERAPIJE</w:t>
            </w:r>
            <w:r>
              <w:rPr>
                <w:rFonts w:ascii="Verdana" w:hAnsi="Verdana"/>
                <w:b/>
                <w:sz w:val="20"/>
                <w:szCs w:val="28"/>
                <w:lang w:val="sl-si"/>
              </w:rPr>
            </w:r>
          </w:p>
        </w:tc>
      </w:tr>
      <w:tr>
        <w:trPr>
          <w:cantSplit w:val="0"/>
          <w:trHeight w:val="20" w:hRule="atLeast"/>
        </w:trPr>
        <w:tc>
          <w:tcPr>
            <w:tcW w:w="9638" w:type="dxa"/>
            <w:gridSpan w:val="2"/>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Zdravstveni informacijski sistem mora omogočati planiranje terapije pacienta. Omogočiti je potrebno vnos  in vrsto fizioterapevtske obravnave, stopnjo nujnosti in ustrezne terapije, ki so potrebne za rehabilitacijo pacienta. Plan mora vsebovati tudi napotni dokument z vzrokom za napotitev in ciljem terapevtske obravnave. V okviru planiranja terapij mora program omogočiti tudi vpogled v elektronsko dokumentacijo pacienta za vpogled v pacientovo zgodovino.</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Planirane terapije je potrebno v okviru zdravstvenega informacijskega sistema razporediti po terapevtskih mestih. Rešitev mora omogočati avtomatsko razporejanje planiranih terapij po terapevtskih mestih, poleg avtomatskega pa mora omogočiti tudi ročno razporejanje, ki uporabniku dopušča, da uporabnik pri razporejanju lahko zasede tudi prezasedanje terapevtskega mesta. Planiranje mora omogočati tudi zavrnitev ali odpoved planirane terapije. Razporejene terapije se lahko pacientu natisnejo.</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razporeditve pacientov: na več delovišč, na različna terapevtska mesta izvedbe znotraj posameznega delovišča, po vsebini predpisane terapije, po vnaprej vnesenih časovnih omejitvah za posamezno terapijo.</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Rešitev mora omogočiti izvedbo planiranih terapij po terapevtskih mestih. Izvedba mora omogočiti tudi vnos ustreznih meritev.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Analitika po predpisanih in izvedenih terapijah, analitika in seznam terapevtskih mest,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Obračun s specifikami značilnimi za Slovenijo (povezava s FURS, eRačuni, ZZZS izdatki)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Analitika in statistična poročila z vključenimi specifikami za Slovenijo</w:t>
            </w:r>
          </w:p>
        </w:tc>
      </w:tr>
      <w:tr>
        <w:trPr>
          <w:cantSplit w:val="0"/>
          <w:trHeight w:val="20" w:hRule="atLeast"/>
        </w:trPr>
        <w:tc>
          <w:tcPr>
            <w:tcW w:w="9638" w:type="dxa"/>
            <w:gridSpan w:val="2"/>
            <w:vAlign w:val="center"/>
            <w:shd w:val="solid" w:color="FDB940" tmshd="1677721856, 0, 4241917"/>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jc w:val="center"/>
              <w:widowControl w:val="0"/>
              <w:rPr>
                <w:rFonts w:ascii="Verdana" w:hAnsi="Verdana"/>
                <w:b/>
                <w:sz w:val="20"/>
                <w:szCs w:val="28"/>
                <w:lang w:val="sl-si"/>
              </w:rPr>
            </w:pPr>
            <w:r>
              <w:rPr>
                <w:rFonts w:ascii="Verdana" w:hAnsi="Verdana"/>
                <w:b/>
                <w:sz w:val="20"/>
                <w:szCs w:val="28"/>
                <w:lang w:val="sl-si"/>
              </w:rPr>
              <w:t>DODATNE ZAHTEVE</w:t>
            </w:r>
          </w:p>
        </w:tc>
      </w:tr>
      <w:tr>
        <w:trPr>
          <w:cantSplit w:val="0"/>
          <w:trHeight w:val="20" w:hRule="atLeast"/>
        </w:trPr>
        <w:tc>
          <w:tcPr>
            <w:tcW w:w="9638" w:type="dxa"/>
            <w:gridSpan w:val="2"/>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widowControl w:val="0"/>
              <w:rPr>
                <w:rFonts w:ascii="Verdana" w:hAnsi="Verdana"/>
                <w:sz w:val="20"/>
                <w:szCs w:val="28"/>
                <w:lang w:val="sl-si"/>
              </w:rPr>
            </w:pPr>
            <w:r>
              <w:rPr>
                <w:rFonts w:ascii="Verdana" w:hAnsi="Verdana"/>
                <w:sz w:val="20"/>
                <w:szCs w:val="28"/>
                <w:lang w:val="sl-si"/>
              </w:rPr>
              <w:t>MIGRACIJA PODATKOV: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Migracija podatkov iz obstoječih rešitev </w:t>
            </w:r>
          </w:p>
          <w:p>
            <w:pPr>
              <w:spacing w:after="0" w:line="240" w:lineRule="auto"/>
              <w:widowControl w:val="0"/>
              <w:rPr>
                <w:rFonts w:ascii="Verdana" w:hAnsi="Verdana"/>
                <w:sz w:val="20"/>
                <w:szCs w:val="28"/>
                <w:lang w:val="sl-si"/>
              </w:rPr>
            </w:pPr>
            <w:r>
              <w:rPr>
                <w:rFonts w:ascii="Verdana" w:hAnsi="Verdana"/>
                <w:sz w:val="20"/>
                <w:szCs w:val="28"/>
                <w:lang w:val="sl-si"/>
              </w:rPr>
            </w:r>
          </w:p>
          <w:p>
            <w:pPr>
              <w:spacing w:after="0" w:line="240" w:lineRule="auto"/>
              <w:widowControl w:val="0"/>
              <w:rPr>
                <w:rFonts w:ascii="Verdana" w:hAnsi="Verdana"/>
                <w:sz w:val="20"/>
                <w:szCs w:val="28"/>
                <w:lang w:val="sl-si"/>
              </w:rPr>
            </w:pPr>
            <w:r>
              <w:rPr>
                <w:rFonts w:ascii="Verdana" w:hAnsi="Verdana"/>
                <w:sz w:val="20"/>
                <w:szCs w:val="28"/>
                <w:lang w:val="sl-si"/>
              </w:rPr>
              <w:t>IZPISI, SEZNAMI IN ANALIZE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Omogočanje izvoz podatkov rezultatov v Excel datoteke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Omogočeno pridobiti podatke za ambulantno spec. dej. : o čakalnih knjigah, vsebini, naročenih pacientih, o dnevno pregledanih pacientih glede na kriterije, o gibanju pacientov v ambulanti</w:t>
            </w:r>
          </w:p>
          <w:p>
            <w:pPr>
              <w:spacing w:after="0" w:line="240" w:lineRule="auto"/>
              <w:widowControl w:val="0"/>
              <w:rPr>
                <w:rFonts w:ascii="Verdana" w:hAnsi="Verdana"/>
                <w:sz w:val="20"/>
                <w:szCs w:val="28"/>
                <w:lang w:val="sl-si"/>
              </w:rPr>
            </w:pPr>
            <w:r>
              <w:rPr>
                <w:rFonts w:ascii="Verdana" w:hAnsi="Verdana"/>
                <w:sz w:val="20"/>
                <w:szCs w:val="28"/>
                <w:lang w:val="sl-si"/>
              </w:rPr>
            </w:r>
          </w:p>
          <w:p>
            <w:pPr>
              <w:spacing w:after="0" w:line="240" w:lineRule="auto"/>
              <w:widowControl w:val="0"/>
              <w:rPr>
                <w:rFonts w:ascii="Verdana" w:hAnsi="Verdana"/>
                <w:sz w:val="20"/>
                <w:szCs w:val="28"/>
                <w:lang w:val="sl-si"/>
              </w:rPr>
            </w:pPr>
            <w:r>
              <w:rPr>
                <w:rFonts w:ascii="Verdana" w:hAnsi="Verdana"/>
                <w:sz w:val="20"/>
                <w:szCs w:val="28"/>
                <w:lang w:val="sl-si"/>
              </w:rPr>
              <w:t>DOSTOPI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IS mora podpirati poljubne nastavitve uporabniških dostopov do posameznih delov programa (ni dostopa, samo vpogled, vpogled in vpisovanje,…)</w:t>
            </w:r>
          </w:p>
          <w:p>
            <w:pPr>
              <w:spacing w:after="0" w:line="240" w:lineRule="auto"/>
              <w:widowControl w:val="0"/>
              <w:rPr>
                <w:rFonts w:ascii="Verdana" w:hAnsi="Verdana"/>
                <w:sz w:val="20"/>
                <w:szCs w:val="28"/>
                <w:lang w:val="sl-si"/>
              </w:rPr>
            </w:pPr>
            <w:r>
              <w:rPr>
                <w:rFonts w:ascii="Verdana" w:hAnsi="Verdana"/>
                <w:sz w:val="20"/>
                <w:szCs w:val="28"/>
                <w:lang w:val="sl-si"/>
              </w:rPr>
            </w:r>
          </w:p>
          <w:p>
            <w:pPr>
              <w:spacing w:after="0" w:line="240" w:lineRule="auto"/>
              <w:widowControl w:val="0"/>
              <w:rPr>
                <w:rFonts w:ascii="Verdana" w:hAnsi="Verdana"/>
                <w:sz w:val="20"/>
                <w:szCs w:val="28"/>
                <w:lang w:val="sl-si"/>
              </w:rPr>
            </w:pPr>
            <w:r>
              <w:rPr>
                <w:rFonts w:ascii="Verdana" w:hAnsi="Verdana"/>
                <w:sz w:val="20"/>
                <w:szCs w:val="28"/>
                <w:lang w:val="sl-si"/>
              </w:rPr>
              <w:t>VARNOST IN SPREMLJANJE SPREMEMB</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Avtomatsko zaklepanje aplikacije z managementom gesel (določanje minimalne dolžine, obvezne uporabe številk, perioda menjave)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Zaščita vpogledov v podatke posamezne organizacijske enote</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Sledenje ponovne aktivacije že zaključenih dogodkov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Integracija z Aktivnim direktorijem</w:t>
            </w:r>
          </w:p>
          <w:p>
            <w:pPr>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Možnost omejevanja avtorizacije posameznih dogodkov (pregledi, meritve)</w:t>
            </w:r>
          </w:p>
          <w:p>
            <w:pPr>
              <w:spacing w:after="0" w:line="240" w:lineRule="auto"/>
              <w:widowControl w:val="0"/>
              <w:rPr>
                <w:rFonts w:ascii="Verdana" w:hAnsi="Verdana"/>
                <w:sz w:val="20"/>
                <w:szCs w:val="28"/>
                <w:lang w:val="sl-si"/>
              </w:rPr>
            </w:pPr>
            <w:r>
              <w:rPr>
                <w:rFonts w:ascii="Verdana" w:hAnsi="Verdana"/>
                <w:sz w:val="20"/>
                <w:szCs w:val="28"/>
                <w:lang w:val="sl-si"/>
              </w:rPr>
            </w:r>
          </w:p>
          <w:p>
            <w:pPr>
              <w:spacing w:after="0" w:line="240" w:lineRule="auto"/>
              <w:widowControl w:val="0"/>
              <w:rPr>
                <w:rFonts w:ascii="Verdana" w:hAnsi="Verdana"/>
                <w:sz w:val="20"/>
                <w:szCs w:val="28"/>
                <w:lang w:val="sl-si"/>
              </w:rPr>
            </w:pPr>
            <w:r>
              <w:rPr>
                <w:rFonts w:ascii="Verdana" w:hAnsi="Verdana"/>
                <w:sz w:val="20"/>
                <w:szCs w:val="28"/>
                <w:lang w:val="sl-si"/>
              </w:rPr>
              <w:t>UPORABA ZVOČNIH ZAPISOV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Zdravstveni sistem mora imeti integriran sistem za diktiranje in prepisovanje zvočnih zapisov</w:t>
            </w:r>
          </w:p>
          <w:p>
            <w:pPr>
              <w:spacing w:after="0" w:line="240" w:lineRule="auto"/>
              <w:widowControl w:val="0"/>
              <w:rPr>
                <w:rFonts w:ascii="Verdana" w:hAnsi="Verdana"/>
                <w:sz w:val="20"/>
                <w:szCs w:val="28"/>
                <w:lang w:val="sl-si"/>
              </w:rPr>
            </w:pPr>
            <w:r>
              <w:rPr>
                <w:rFonts w:ascii="Verdana" w:hAnsi="Verdana"/>
                <w:sz w:val="20"/>
                <w:szCs w:val="28"/>
                <w:lang w:val="sl-si"/>
              </w:rPr>
            </w:r>
          </w:p>
          <w:p>
            <w:pPr>
              <w:spacing w:after="0" w:line="240" w:lineRule="auto"/>
              <w:widowControl w:val="0"/>
              <w:rPr>
                <w:rFonts w:ascii="Verdana" w:hAnsi="Verdana"/>
                <w:sz w:val="20"/>
                <w:szCs w:val="28"/>
                <w:lang w:val="sl-si"/>
              </w:rPr>
            </w:pPr>
            <w:r>
              <w:rPr>
                <w:rFonts w:ascii="Verdana" w:hAnsi="Verdana"/>
                <w:sz w:val="20"/>
                <w:szCs w:val="28"/>
                <w:lang w:val="sl-si"/>
              </w:rPr>
              <w:t>DELO Z DOKUMENTI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Ponudnik IS mora zaradi kompleksnosti področja ter zakonodajnih zahtev ponuditi certificirano storitev dolgoročne hrambe in vzorčna notranja pravila za področje medicine in zdravstva.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Zdravstveni IS mora vsebovati avtomatsko verzioniranje dokumentacije, z vključenimi podpisnimi mapami za elektronsko podpisovanje dokumentacije.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Arhiv oz. trajna hramba dokumentacije mora biti brezšivno integrirana z dokumentnim modulom zdravstvenega informacijskega sistema, ki mora biti registriran pri Arhivu republike Slovenije.</w:t>
            </w:r>
          </w:p>
          <w:p>
            <w:pPr>
              <w:spacing w:after="0" w:line="240" w:lineRule="auto"/>
              <w:widowControl w:val="0"/>
              <w:rPr>
                <w:rFonts w:ascii="Verdana" w:hAnsi="Verdana"/>
                <w:sz w:val="20"/>
                <w:szCs w:val="28"/>
                <w:lang w:val="sl-si"/>
              </w:rPr>
            </w:pPr>
            <w:r>
              <w:rPr>
                <w:rFonts w:ascii="Verdana" w:hAnsi="Verdana"/>
                <w:sz w:val="20"/>
                <w:szCs w:val="28"/>
                <w:lang w:val="sl-si"/>
              </w:rPr>
            </w:r>
          </w:p>
          <w:p>
            <w:pPr>
              <w:spacing w:after="0" w:line="240" w:lineRule="auto"/>
              <w:widowControl w:val="0"/>
              <w:rPr>
                <w:rFonts w:ascii="Verdana" w:hAnsi="Verdana"/>
                <w:sz w:val="20"/>
                <w:szCs w:val="28"/>
                <w:lang w:val="sl-si"/>
              </w:rPr>
            </w:pPr>
            <w:r>
              <w:rPr>
                <w:rFonts w:ascii="Verdana" w:hAnsi="Verdana"/>
                <w:sz w:val="20"/>
                <w:szCs w:val="28"/>
                <w:lang w:val="sl-si"/>
              </w:rPr>
              <w:t>MEDICINSKI PODATKI</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Ponudnik zdravstvenega informacijskega sistema mora omogočiti, da interna služba za informatiko lahko sama ureja, dodaja in spreminja nastavitve vnosov medicinskih podatkov.  </w:t>
            </w:r>
          </w:p>
          <w:p>
            <w:pPr>
              <w:spacing w:after="0" w:line="240" w:lineRule="auto"/>
              <w:widowControl w:val="0"/>
              <w:rPr>
                <w:rFonts w:ascii="Verdana" w:hAnsi="Verdana"/>
                <w:sz w:val="20"/>
                <w:szCs w:val="28"/>
                <w:lang w:val="sl-si"/>
              </w:rPr>
            </w:pPr>
            <w:r>
              <w:rPr>
                <w:rFonts w:ascii="Verdana" w:hAnsi="Verdana"/>
                <w:sz w:val="20"/>
                <w:szCs w:val="28"/>
                <w:lang w:val="sl-si"/>
              </w:rPr>
            </w:r>
          </w:p>
          <w:p>
            <w:pPr>
              <w:spacing w:after="0" w:line="240" w:lineRule="auto"/>
              <w:widowControl w:val="0"/>
              <w:rPr>
                <w:rFonts w:ascii="Verdana" w:hAnsi="Verdana"/>
                <w:sz w:val="20"/>
                <w:szCs w:val="28"/>
                <w:lang w:val="sl-si"/>
              </w:rPr>
            </w:pPr>
            <w:r>
              <w:rPr>
                <w:rFonts w:ascii="Verdana" w:hAnsi="Verdana"/>
                <w:sz w:val="20"/>
                <w:szCs w:val="28"/>
                <w:lang w:val="sl-si"/>
              </w:rPr>
              <w:t>SAMOREGISTRACIJA PACIENTOV</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Zdravstveni informacijski sistem mora omogočiti samoregistracijo pacienta ob prihodu v ustanovo.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Sistem mora biti neposredno integriran v zdravstveni informacijski sistem in mora ob registraciji v sistemu zabeležiti prihod, branje zavarovanja pacienta s povezavo do ZZZS in pacienta usmeriti do ustreznega delovišča.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Pacientu je potrebno omogočiti vpogled v čakajoče tudi prek mobilnih naprav (telefon, tablica).  </w:t>
            </w:r>
          </w:p>
          <w:p>
            <w:pPr>
              <w:spacing w:after="0" w:line="240" w:lineRule="auto"/>
              <w:widowControl w:val="0"/>
              <w:rPr>
                <w:rFonts w:ascii="Verdana" w:hAnsi="Verdana"/>
                <w:sz w:val="20"/>
                <w:szCs w:val="28"/>
                <w:lang w:val="sl-si"/>
              </w:rPr>
            </w:pPr>
            <w:r>
              <w:rPr>
                <w:rFonts w:ascii="Verdana" w:hAnsi="Verdana"/>
                <w:sz w:val="20"/>
                <w:szCs w:val="28"/>
                <w:lang w:val="sl-si"/>
              </w:rPr>
            </w:r>
          </w:p>
          <w:p>
            <w:pPr>
              <w:spacing w:after="0" w:line="240" w:lineRule="auto"/>
              <w:widowControl w:val="0"/>
              <w:rPr>
                <w:rFonts w:ascii="Verdana" w:hAnsi="Verdana"/>
                <w:sz w:val="20"/>
                <w:szCs w:val="28"/>
                <w:lang w:val="sl-si"/>
              </w:rPr>
            </w:pPr>
            <w:r>
              <w:rPr>
                <w:rFonts w:ascii="Verdana" w:hAnsi="Verdana"/>
                <w:sz w:val="20"/>
                <w:szCs w:val="28"/>
                <w:lang w:val="sl-si"/>
              </w:rPr>
              <w:t xml:space="preserve">PORTAL ZA PACIENTE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Pacientu je potrebno omogočiti varno naročanje na preglede, terapije ali izvajanje meritev, naročanje na videokonferenčne klice neposredno v zdravstveni informacijski sistem.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Sistem mora omogočati tudi dostop do zdravstvene dokumentacije pacienta, nikakor pa ne sme te dokumentacije hraniti in mora v primeru, da pacient želi dostop do določene dokumentacije, zanjo omogočiti vpogled v sistemu ustanove prek varne komunikacije.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 xml:space="preserve">Sistem mora omogočiti pacientu tudi izpolnjevanje določenih vprašalnikov, ki so potrebni za zdravstveno obravnavo pacienta (sedem vprašalnikov je v prilogi vprasalniki.zip). </w:t>
            </w:r>
          </w:p>
          <w:p>
            <w:pPr>
              <w:pStyle w:val="para38"/>
              <w:numPr>
                <w:ilvl w:val="0"/>
                <w:numId w:val="2"/>
              </w:numPr>
              <w:ind w:left="720" w:hanging="360"/>
              <w:spacing w:after="0" w:line="240" w:lineRule="auto"/>
              <w:widowControl w:val="0"/>
              <w:rPr>
                <w:rFonts w:ascii="Verdana" w:hAnsi="Verdana"/>
                <w:sz w:val="20"/>
                <w:szCs w:val="28"/>
                <w:lang w:val="sl-si"/>
              </w:rPr>
            </w:pPr>
            <w:r>
              <w:rPr>
                <w:rFonts w:ascii="Verdana" w:hAnsi="Verdana"/>
                <w:sz w:val="20"/>
                <w:szCs w:val="28"/>
                <w:lang w:val="sl-si"/>
              </w:rPr>
              <w:t>Portal mora biti izdelan tudi kot sodobna uporabniško prijazna aplikacija za Android in IOS.</w:t>
            </w:r>
          </w:p>
          <w:p>
            <w:pPr>
              <w:spacing w:after="0" w:line="240" w:lineRule="auto"/>
              <w:widowControl w:val="0"/>
              <w:rPr>
                <w:rFonts w:ascii="Verdana" w:hAnsi="Verdana"/>
                <w:sz w:val="20"/>
                <w:szCs w:val="28"/>
                <w:lang w:val="sl-si"/>
              </w:rPr>
            </w:pPr>
            <w:r>
              <w:rPr>
                <w:rFonts w:ascii="Verdana" w:hAnsi="Verdana"/>
                <w:sz w:val="20"/>
                <w:szCs w:val="28"/>
                <w:lang w:val="sl-si"/>
              </w:rPr>
            </w:r>
          </w:p>
          <w:p>
            <w:pPr>
              <w:spacing w:after="0" w:line="240" w:lineRule="auto"/>
              <w:widowControl w:val="0"/>
              <w:rPr>
                <w:rFonts w:ascii="Verdana" w:hAnsi="Verdana"/>
                <w:sz w:val="20"/>
                <w:szCs w:val="28"/>
                <w:lang w:val="sl-si"/>
              </w:rPr>
            </w:pPr>
            <w:r>
              <w:rPr>
                <w:rFonts w:ascii="Verdana" w:hAnsi="Verdana"/>
                <w:sz w:val="20"/>
                <w:szCs w:val="28"/>
                <w:lang w:val="sl-si"/>
              </w:rPr>
              <w:t>USPOSABLJANJE UPORABNIKOV</w:t>
            </w:r>
          </w:p>
          <w:p>
            <w:pPr>
              <w:pStyle w:val="para38"/>
              <w:numPr>
                <w:ilvl w:val="0"/>
                <w:numId w:val="5"/>
              </w:numPr>
              <w:ind w:left="709" w:hanging="360"/>
              <w:spacing w:after="0" w:line="240" w:lineRule="auto"/>
              <w:widowControl w:val="0"/>
              <w:rPr>
                <w:rFonts w:ascii="Verdana" w:hAnsi="Verdana"/>
                <w:sz w:val="20"/>
                <w:szCs w:val="28"/>
                <w:lang w:val="sl-si"/>
              </w:rPr>
            </w:pPr>
            <w:r>
              <w:rPr>
                <w:rFonts w:ascii="Verdana" w:hAnsi="Verdana"/>
                <w:sz w:val="20"/>
                <w:szCs w:val="28"/>
                <w:lang w:val="sl-si"/>
              </w:rPr>
              <w:t>Usposabljanje uporabnikov ponudnik predvidi v obsegu, ki ga zahteva njegov informacijski sistem. Usposabljanje se izvaja po logičnih vsebinskih sklopih, osrednje lahko tudi na daljavo. Praktične prikaze posameznih področnih funkcionalnosti in operacij pa ponudnik zagotavlja na lokacijah oddelkov. Usposabljanje mora biti zadostno, da zagotovi poznavanje in učinkovito uporabo informacijskega sistema. Urnike usposabljanj ponudnik dogovori s koordinatorjem projekta.</w:t>
            </w:r>
          </w:p>
          <w:p>
            <w:pPr>
              <w:ind w:left="709"/>
              <w:spacing w:after="0" w:line="240" w:lineRule="auto"/>
              <w:widowControl w:val="0"/>
              <w:rPr>
                <w:rFonts w:ascii="Verdana" w:hAnsi="Verdana"/>
                <w:sz w:val="20"/>
                <w:szCs w:val="28"/>
                <w:lang w:val="sl-si"/>
              </w:rPr>
            </w:pPr>
            <w:r>
              <w:rPr>
                <w:rFonts w:ascii="Verdana" w:hAnsi="Verdana"/>
                <w:sz w:val="20"/>
                <w:szCs w:val="28"/>
                <w:lang w:val="sl-si"/>
              </w:rPr>
            </w:r>
          </w:p>
          <w:p>
            <w:pPr>
              <w:spacing w:after="0" w:line="240" w:lineRule="auto"/>
              <w:widowControl w:val="0"/>
              <w:rPr>
                <w:rFonts w:ascii="Verdana" w:hAnsi="Verdana"/>
                <w:sz w:val="20"/>
                <w:szCs w:val="28"/>
                <w:lang w:val="sl-si"/>
              </w:rPr>
            </w:pPr>
            <w:r>
              <w:rPr>
                <w:rFonts w:ascii="Verdana" w:hAnsi="Verdana"/>
                <w:sz w:val="20"/>
                <w:szCs w:val="28"/>
                <w:lang w:val="sl-si"/>
              </w:rPr>
              <w:t>DODATNE FUNKCIONALNOSTI</w:t>
            </w:r>
          </w:p>
          <w:p>
            <w:pPr>
              <w:spacing w:after="0" w:line="240" w:lineRule="auto"/>
              <w:widowControl w:val="0"/>
              <w:rPr>
                <w:rFonts w:ascii="Verdana" w:hAnsi="Verdana"/>
                <w:sz w:val="20"/>
                <w:szCs w:val="28"/>
                <w:lang w:val="sl-si"/>
              </w:rPr>
            </w:pPr>
            <w:r>
              <w:rPr>
                <w:rFonts w:ascii="Verdana" w:hAnsi="Verdana"/>
                <w:sz w:val="20"/>
                <w:szCs w:val="28"/>
                <w:lang w:val="sl-si"/>
              </w:rPr>
            </w:r>
          </w:p>
          <w:p>
            <w:pPr>
              <w:pStyle w:val="para38"/>
              <w:numPr>
                <w:ilvl w:val="0"/>
                <w:numId w:val="6"/>
              </w:numPr>
              <w:ind w:left="720" w:hanging="360"/>
              <w:spacing w:after="0" w:line="240" w:lineRule="auto"/>
              <w:widowControl w:val="0"/>
              <w:rPr>
                <w:rFonts w:ascii="Verdana" w:hAnsi="Verdana"/>
                <w:lang w:val="sl-si"/>
              </w:rPr>
            </w:pPr>
            <w:r>
              <w:rPr>
                <w:rFonts w:ascii="Verdana" w:hAnsi="Verdana"/>
                <w:sz w:val="20"/>
                <w:szCs w:val="28"/>
                <w:lang w:val="sl-si"/>
              </w:rPr>
              <w:t>vključen modul oz. rešitev za prepoznavo govora</w:t>
            </w:r>
            <w:r>
              <w:rPr>
                <w:rFonts w:ascii="Verdana" w:hAnsi="Verdana"/>
                <w:lang w:val="sl-si"/>
              </w:rPr>
            </w:r>
          </w:p>
          <w:p>
            <w:pPr>
              <w:pStyle w:val="para38"/>
              <w:numPr>
                <w:ilvl w:val="0"/>
                <w:numId w:val="6"/>
              </w:numPr>
              <w:ind w:left="720" w:hanging="360"/>
              <w:spacing w:after="0" w:line="240" w:lineRule="auto"/>
              <w:widowControl w:val="0"/>
              <w:rPr>
                <w:rFonts w:ascii="Verdana" w:hAnsi="Verdana"/>
                <w:lang w:val="sl-si"/>
              </w:rPr>
            </w:pPr>
            <w:r>
              <w:rPr>
                <w:rFonts w:ascii="Verdana" w:hAnsi="Verdana"/>
                <w:sz w:val="20"/>
                <w:szCs w:val="28"/>
                <w:lang w:val="sl-si"/>
              </w:rPr>
              <w:t>mobilna aplikacija ali responsive web rešitev za medicinsko osebje (ki omogoča najmanj vpogled v novo prispele izvide, zdravniški raport, vpogled v naročene paciente – čakalno knjigo)</w:t>
            </w:r>
            <w:r>
              <w:rPr>
                <w:rFonts w:ascii="Verdana" w:hAnsi="Verdana"/>
                <w:lang w:val="sl-si"/>
              </w:rPr>
            </w:r>
          </w:p>
          <w:p>
            <w:pPr>
              <w:pStyle w:val="para38"/>
              <w:numPr>
                <w:ilvl w:val="0"/>
                <w:numId w:val="6"/>
              </w:numPr>
              <w:ind w:left="720" w:hanging="360"/>
              <w:spacing w:after="0" w:line="240" w:lineRule="auto"/>
              <w:widowControl w:val="0"/>
              <w:rPr>
                <w:rFonts w:ascii="Verdana" w:hAnsi="Verdana"/>
                <w:lang w:val="sl-si"/>
              </w:rPr>
            </w:pPr>
            <w:r>
              <w:rPr>
                <w:rFonts w:ascii="Verdana" w:hAnsi="Verdana"/>
                <w:sz w:val="20"/>
                <w:szCs w:val="28"/>
                <w:lang w:val="sl-si"/>
              </w:rPr>
              <w:t>Integracija vseh aparatov ne glede na število, ki v trenutku prehoda (najmanj 3 mesece pred prehodom) na nov sistem obstajajo v hiši in so integrirani v obstoječi bolnišnični sistem (seznam aparatov je v prilogi seznam_aparatov_za_integracijo.xlsx).</w:t>
            </w:r>
            <w:r>
              <w:rPr>
                <w:rFonts w:ascii="Verdana" w:hAnsi="Verdana"/>
                <w:lang w:val="sl-si"/>
              </w:rPr>
            </w:r>
          </w:p>
          <w:p>
            <w:pPr>
              <w:pStyle w:val="para38"/>
              <w:numPr>
                <w:ilvl w:val="0"/>
                <w:numId w:val="6"/>
              </w:numPr>
              <w:ind w:left="720" w:hanging="360"/>
              <w:spacing w:after="0" w:line="240" w:lineRule="auto"/>
              <w:widowControl w:val="0"/>
              <w:rPr>
                <w:rFonts w:ascii="Verdana" w:hAnsi="Verdana"/>
                <w:lang w:val="sl-si"/>
              </w:rPr>
            </w:pPr>
            <w:r>
              <w:rPr>
                <w:rFonts w:ascii="Verdana" w:hAnsi="Verdana"/>
                <w:sz w:val="20"/>
                <w:szCs w:val="28"/>
                <w:lang w:val="sl-si"/>
              </w:rPr>
              <w:t>Evidenca drage medicinske opreme s spremljanjem uporabe – integracija z EDMO, nacionalna rešitev MZ.</w:t>
            </w:r>
            <w:r>
              <w:rPr>
                <w:rFonts w:ascii="Verdana" w:hAnsi="Verdana"/>
                <w:lang w:val="sl-si"/>
              </w:rPr>
            </w:r>
          </w:p>
          <w:p>
            <w:pPr>
              <w:pStyle w:val="para38"/>
              <w:numPr>
                <w:ilvl w:val="0"/>
                <w:numId w:val="6"/>
              </w:numPr>
              <w:ind w:left="720" w:hanging="360"/>
              <w:spacing w:after="0" w:line="240" w:lineRule="auto"/>
              <w:widowControl w:val="0"/>
              <w:rPr>
                <w:rFonts w:ascii="Verdana" w:hAnsi="Verdana"/>
                <w:lang w:val="sl-si"/>
              </w:rPr>
            </w:pPr>
            <w:r>
              <w:rPr>
                <w:rFonts w:ascii="Verdana" w:hAnsi="Verdana"/>
                <w:sz w:val="20"/>
                <w:szCs w:val="28"/>
                <w:lang w:val="sl-si"/>
              </w:rPr>
              <w:t>E-triaža in E-komunikacija z GPU (modul oz. rešitev, ki se implementira v času veljavnosti pogodbe)</w:t>
            </w:r>
            <w:r>
              <w:rPr>
                <w:rFonts w:ascii="Verdana" w:hAnsi="Verdana"/>
                <w:lang w:val="sl-si"/>
              </w:rPr>
            </w:r>
          </w:p>
          <w:p>
            <w:pPr>
              <w:pStyle w:val="para38"/>
              <w:numPr>
                <w:ilvl w:val="0"/>
                <w:numId w:val="6"/>
              </w:numPr>
              <w:ind w:left="720" w:hanging="360"/>
              <w:spacing w:after="0" w:line="240" w:lineRule="auto"/>
              <w:widowControl w:val="0"/>
              <w:rPr>
                <w:rFonts w:ascii="Verdana" w:hAnsi="Verdana"/>
                <w:lang w:val="sl-si"/>
              </w:rPr>
            </w:pPr>
            <w:r>
              <w:rPr>
                <w:rFonts w:ascii="Verdana" w:hAnsi="Verdana"/>
                <w:sz w:val="20"/>
                <w:szCs w:val="28"/>
                <w:lang w:val="sl-si"/>
              </w:rPr>
              <w:t>Spremljanje podatkov pred, med in po porodu ter pošiljanje podrobnih podatkov o porodu, novorojenčkih in fetalni smrti v skladu z vnaprej predpisano vsebino s strani NIJZ (v vzdrževanju so vključene vse regulatorne spremembe). V Sloveniji se tovrstni podatki zbirajo v t.i. Perinatalnem IS (Peris).</w:t>
            </w:r>
            <w:r>
              <w:rPr>
                <w:rFonts w:ascii="Verdana" w:hAnsi="Verdana"/>
                <w:lang w:val="sl-si"/>
              </w:rPr>
            </w:r>
          </w:p>
          <w:p>
            <w:pPr>
              <w:pStyle w:val="para38"/>
              <w:numPr>
                <w:ilvl w:val="0"/>
                <w:numId w:val="6"/>
              </w:numPr>
              <w:ind w:left="720" w:hanging="360"/>
              <w:spacing w:after="0" w:line="240" w:lineRule="auto"/>
              <w:widowControl w:val="0"/>
              <w:rPr>
                <w:rFonts w:ascii="Verdana" w:hAnsi="Verdana"/>
                <w:lang w:val="sl-si"/>
              </w:rPr>
            </w:pPr>
            <w:r>
              <w:rPr>
                <w:rFonts w:ascii="Verdana" w:hAnsi="Verdana"/>
                <w:sz w:val="20"/>
                <w:szCs w:val="28"/>
                <w:lang w:val="sl-si"/>
              </w:rPr>
              <w:t>Sistem mora omogočati tudi delovanje nekaterih primarnih področjih (kot na primer ginekologija, dispanzer za žene, razvojna ambulanta).</w:t>
            </w:r>
            <w:r>
              <w:rPr>
                <w:rFonts w:ascii="Verdana" w:hAnsi="Verdana"/>
                <w:lang w:val="sl-si"/>
              </w:rPr>
            </w:r>
          </w:p>
          <w:p>
            <w:pPr>
              <w:spacing w:after="0" w:line="240" w:lineRule="auto"/>
              <w:widowControl w:val="0"/>
              <w:rPr>
                <w:rFonts w:ascii="Verdana" w:hAnsi="Verdana"/>
                <w:sz w:val="20"/>
                <w:szCs w:val="28"/>
                <w:lang w:val="sl-si"/>
              </w:rPr>
            </w:pPr>
            <w:r>
              <w:rPr>
                <w:rFonts w:ascii="Verdana" w:hAnsi="Verdana"/>
                <w:sz w:val="20"/>
                <w:szCs w:val="28"/>
                <w:lang w:val="sl-si"/>
              </w:rPr>
            </w:r>
          </w:p>
        </w:tc>
      </w:tr>
      <w:tr>
        <w:trPr>
          <w:cantSplit w:val="0"/>
          <w:trHeight w:val="822" w:hRule="atLeast"/>
        </w:trPr>
        <w:tc>
          <w:tcPr>
            <w:tcW w:w="9638" w:type="dxa"/>
            <w:gridSpan w:val="2"/>
            <w:vAlign w:val="center"/>
            <w:shd w:val="solid" w:color="FFF0D5" tmshd="1677721856, 0, 14020863"/>
            <w:tcMar>
              <w:top w:w="108" w:type="dxa"/>
              <w:left w:w="108" w:type="dxa"/>
              <w:bottom w:w="108"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3409" protected="0"/>
          </w:tcPr>
          <w:p>
            <w:pPr>
              <w:spacing w:after="0" w:line="240" w:lineRule="auto"/>
              <w:jc w:val="center"/>
              <w:widowControl w:val="0"/>
              <w:rPr>
                <w:rFonts w:ascii="Verdana" w:hAnsi="Verdana"/>
                <w:b/>
                <w:sz w:val="20"/>
                <w:szCs w:val="28"/>
                <w:u w:color="auto" w:val="single"/>
                <w:lang w:val="sl-si"/>
              </w:rPr>
            </w:pPr>
            <w:r>
              <w:rPr>
                <w:rFonts w:ascii="Verdana" w:hAnsi="Verdana"/>
                <w:b/>
                <w:sz w:val="20"/>
                <w:szCs w:val="28"/>
                <w:u w:color="auto" w:val="single"/>
                <w:lang w:val="sl-si"/>
              </w:rPr>
              <w:t>PREVZEM</w:t>
            </w:r>
          </w:p>
          <w:p>
            <w:pPr>
              <w:spacing w:after="0" w:line="240" w:lineRule="auto"/>
              <w:widowControl w:val="0"/>
              <w:rPr>
                <w:rFonts w:ascii="Verdana" w:hAnsi="Verdana"/>
                <w:sz w:val="20"/>
                <w:szCs w:val="28"/>
                <w:lang w:val="sl-si"/>
              </w:rPr>
            </w:pPr>
            <w:r>
              <w:rPr>
                <w:rFonts w:ascii="Verdana" w:hAnsi="Verdana"/>
                <w:sz w:val="20"/>
                <w:szCs w:val="28"/>
                <w:lang w:val="sl-si"/>
              </w:rPr>
            </w:r>
          </w:p>
          <w:p>
            <w:pPr>
              <w:spacing w:after="0" w:line="240" w:lineRule="auto"/>
              <w:widowControl w:val="0"/>
              <w:rPr>
                <w:rFonts w:ascii="Verdana" w:hAnsi="Verdana"/>
                <w:b/>
              </w:rPr>
            </w:pPr>
            <w:r>
              <w:rPr>
                <w:rFonts w:ascii="Verdana" w:hAnsi="Verdana"/>
                <w:b/>
                <w:sz w:val="20"/>
                <w:szCs w:val="28"/>
                <w:lang w:val="sl-si"/>
              </w:rPr>
              <w:t>Pogoji za končni prevzem IS:</w:t>
            </w:r>
            <w:r>
              <w:rPr>
                <w:rFonts w:ascii="Verdana" w:hAnsi="Verdana"/>
                <w:b/>
              </w:rPr>
            </w:r>
          </w:p>
          <w:p>
            <w:pPr>
              <w:pStyle w:val="para38"/>
              <w:numPr>
                <w:ilvl w:val="0"/>
                <w:numId w:val="4"/>
              </w:numPr>
              <w:ind w:left="720" w:hanging="360"/>
              <w:spacing w:after="0" w:line="240" w:lineRule="auto"/>
              <w:widowControl w:val="0"/>
              <w:rPr>
                <w:rFonts w:ascii="Verdana" w:hAnsi="Verdana"/>
              </w:rPr>
            </w:pPr>
            <w:r>
              <w:rPr>
                <w:rFonts w:ascii="Verdana" w:hAnsi="Verdana"/>
                <w:sz w:val="20"/>
                <w:szCs w:val="28"/>
                <w:lang w:val="sl-si"/>
              </w:rPr>
              <w:t>Namestitev celotne rešitve z vsemi funkcionalnostmi v zahtevanem roku;</w:t>
            </w:r>
            <w:r>
              <w:rPr>
                <w:rFonts w:ascii="Verdana" w:hAnsi="Verdana"/>
              </w:rPr>
            </w:r>
          </w:p>
          <w:p>
            <w:pPr>
              <w:pStyle w:val="para38"/>
              <w:numPr>
                <w:ilvl w:val="0"/>
                <w:numId w:val="4"/>
              </w:numPr>
              <w:ind w:left="720" w:hanging="360"/>
              <w:spacing w:after="0" w:line="240" w:lineRule="auto"/>
              <w:widowControl w:val="0"/>
              <w:rPr>
                <w:rFonts w:ascii="Verdana" w:hAnsi="Verdana"/>
              </w:rPr>
            </w:pPr>
            <w:r>
              <w:rPr>
                <w:rFonts w:ascii="Verdana" w:hAnsi="Verdana"/>
                <w:sz w:val="20"/>
                <w:szCs w:val="28"/>
                <w:lang w:val="sl-si"/>
              </w:rPr>
              <w:t>Prvi mesec po namestitvi izveden, poslan in sprejet mesečni obračun na ZZZS in prostovoljne zavarovalnice brez zavrnitev;</w:t>
            </w:r>
            <w:r>
              <w:rPr>
                <w:rFonts w:ascii="Verdana" w:hAnsi="Verdana"/>
              </w:rPr>
            </w:r>
          </w:p>
          <w:p>
            <w:pPr>
              <w:pStyle w:val="para38"/>
              <w:numPr>
                <w:ilvl w:val="0"/>
                <w:numId w:val="4"/>
              </w:numPr>
              <w:ind w:left="720" w:hanging="360"/>
              <w:spacing w:after="0" w:line="240" w:lineRule="auto"/>
              <w:widowControl w:val="0"/>
              <w:rPr>
                <w:rFonts w:ascii="Verdana" w:hAnsi="Verdana"/>
              </w:rPr>
            </w:pPr>
            <w:r>
              <w:rPr>
                <w:rFonts w:ascii="Verdana" w:hAnsi="Verdana"/>
                <w:sz w:val="20"/>
                <w:szCs w:val="28"/>
                <w:lang w:val="sl-si"/>
              </w:rPr>
              <w:t>Izvedeno izobraževanje uporabnikov;</w:t>
            </w:r>
            <w:r>
              <w:rPr>
                <w:rFonts w:ascii="Verdana" w:hAnsi="Verdana"/>
              </w:rPr>
            </w:r>
          </w:p>
          <w:p>
            <w:pPr>
              <w:pStyle w:val="para38"/>
              <w:numPr>
                <w:ilvl w:val="0"/>
                <w:numId w:val="4"/>
              </w:numPr>
              <w:ind w:left="720" w:hanging="360"/>
              <w:spacing w:after="0" w:line="240" w:lineRule="auto"/>
              <w:widowControl w:val="0"/>
              <w:rPr>
                <w:rFonts w:ascii="Verdana" w:hAnsi="Verdana"/>
              </w:rPr>
            </w:pPr>
            <w:r>
              <w:rPr>
                <w:rFonts w:ascii="Verdana" w:hAnsi="Verdana"/>
                <w:sz w:val="20"/>
                <w:szCs w:val="28"/>
                <w:lang w:val="sl-si"/>
              </w:rPr>
              <w:t>Vzpostavljene integracije:</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z obstoječim laboratorijskim sistemom,</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z obstoječim radiološkim sistemom,</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z obstoječim endoskopskim sistemom,</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z obstoječim lekarniškim sistemom,</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integracija oz. naročanje na mikrobiološke preiskave na NLZOH, IMI ali kateri izmed drugih bolnišnic z mikrobiološkim laboratorijem v Sloveniji,</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z modulom za spremljanje zdravljenja v antikoagulantni ambulanti z vključeno integracijo v laboratorijski informacijski sistem in sistem za samoregistracijo pacientov,</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z modulom za zdravljenje v ambulanti za sladkorne bolezni z vključeno integracijo z drugimi zdravstvenimi zavodi z omogočenim vpogledom v strukturirane podatke vnesene na primarnem kot tudi na sekundarnem nivoju,</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s sistemom za samoregistracijo pacientov za avtomatsko kreiranja obravnav z naročenim pacientom z neposredno komunikacijo s KZZ On-line (za avtomatsko branje zavarovanja pacienta) in eNaročanjem (za avtomatsko komunikacijo s sistemom eZdravja),</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s sistemom za avtomatiziran sprejem in urejanje čakajočih na laboratorijske preiskave,</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z elektronskim arhivom odobrenim s strani Arhiva RS za hrambo medicinske dokumentacije,</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povezave z AJPES za pridobivanje podatkov o partnerjih in plačnikih zdravstvenih storitev za plačnike podjetja,</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s sistemom za pošiljanje SMS sporočil in opomnikov pacientom,</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z zvočnimi posnetki (diktafoni), ki omogoča neposredno shranjevanje v zdravstveni informacijski sistem in povezavo diktatov s podatki o pacientu,</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z MS aktivni imenik (AD),</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s sistemom za prepoznavo govora,</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s sistemom za preverjanje pravopisa,</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s sistemom za razporejanje in planiranje posegov po operacijskih dvoranah in ekipe,</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s sistemom za planiranje in razporejanje diagnostičnih preiskav v radiologiji,</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s sistemom za planiranje terapij v fizioterapiji,</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z vsaj tremi obstoječimi aparati in napravami (npr. spirometri, EKG itn.),</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z ZZZS izdatki,</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s komercialnimi zavarovalnicami, ki zavarovalnicam omogoča naročanje pacientov oz. zavarovancev neposredno v zdravstveni informacijski sistem (Triglav, Vzajemna, Generali),</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s portalom za paciente,</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povezava s KZZ Online, eRecept, eNaročanje, eRCO, PPOP, eUrgenca, eTriaža, CBZ (ki se sinhronizira avtomatično), registrom raka, FURS, eSZBO,</w:t>
            </w:r>
            <w:r>
              <w:rPr>
                <w:rFonts w:ascii="Verdana" w:hAnsi="Verdana"/>
              </w:rPr>
            </w:r>
          </w:p>
          <w:p>
            <w:pPr>
              <w:pStyle w:val="para38"/>
              <w:numPr>
                <w:ilvl w:val="1"/>
                <w:numId w:val="4"/>
              </w:numPr>
              <w:ind w:left="1440" w:hanging="360"/>
              <w:spacing w:after="0" w:line="240" w:lineRule="auto"/>
              <w:widowControl w:val="0"/>
              <w:rPr>
                <w:rFonts w:ascii="Verdana" w:hAnsi="Verdana"/>
              </w:rPr>
            </w:pPr>
            <w:r>
              <w:rPr>
                <w:rFonts w:ascii="Verdana" w:hAnsi="Verdana"/>
                <w:sz w:val="20"/>
                <w:szCs w:val="28"/>
                <w:lang w:val="sl-si"/>
              </w:rPr>
              <w:t>povezava s PERIS in EDMO ter pošiljanjem podatkov o porodih.</w:t>
            </w:r>
            <w:r>
              <w:rPr>
                <w:rFonts w:ascii="Verdana" w:hAnsi="Verdana"/>
              </w:rPr>
            </w:r>
          </w:p>
          <w:p>
            <w:pPr>
              <w:pStyle w:val="para38"/>
              <w:numPr>
                <w:ilvl w:val="0"/>
                <w:numId w:val="4"/>
              </w:numPr>
              <w:ind w:left="720" w:hanging="360"/>
              <w:spacing w:after="0" w:line="240" w:lineRule="auto"/>
              <w:widowControl w:val="0"/>
              <w:rPr>
                <w:rFonts w:ascii="Verdana" w:hAnsi="Verdana"/>
              </w:rPr>
            </w:pPr>
            <w:r>
              <w:rPr>
                <w:rFonts w:ascii="Verdana" w:hAnsi="Verdana"/>
                <w:sz w:val="20"/>
                <w:szCs w:val="28"/>
                <w:lang w:val="sl-si"/>
              </w:rPr>
              <w:t>Vzpostavljen sistem za samoregistracijo pacientov;</w:t>
            </w:r>
            <w:r>
              <w:rPr>
                <w:rFonts w:ascii="Verdana" w:hAnsi="Verdana"/>
              </w:rPr>
            </w:r>
          </w:p>
          <w:p>
            <w:pPr>
              <w:pStyle w:val="para38"/>
              <w:numPr>
                <w:ilvl w:val="0"/>
                <w:numId w:val="4"/>
              </w:numPr>
              <w:ind w:left="720" w:hanging="360"/>
              <w:spacing w:after="0" w:line="240" w:lineRule="auto"/>
              <w:widowControl w:val="0"/>
              <w:rPr>
                <w:rFonts w:ascii="Verdana" w:hAnsi="Verdana"/>
              </w:rPr>
            </w:pPr>
            <w:r>
              <w:rPr>
                <w:rFonts w:ascii="Verdana" w:hAnsi="Verdana"/>
                <w:sz w:val="20"/>
                <w:szCs w:val="28"/>
                <w:lang w:val="sl-si"/>
              </w:rPr>
              <w:t>Uspešno elektronsko podpisanih in vložnih vsaj 10 zdravstvenih dokumentov v akreditiran arhiv.</w:t>
            </w:r>
            <w:r>
              <w:rPr>
                <w:rFonts w:ascii="Verdana" w:hAnsi="Verdana"/>
              </w:rPr>
            </w:r>
          </w:p>
          <w:p>
            <w:pPr>
              <w:spacing w:after="0" w:line="240" w:lineRule="auto"/>
              <w:widowControl w:val="0"/>
              <w:rPr>
                <w:rFonts w:ascii="Verdana" w:hAnsi="Verdana"/>
              </w:rPr>
            </w:pPr>
            <w:r>
              <w:rPr>
                <w:rFonts w:ascii="Verdana" w:hAnsi="Verdana"/>
              </w:rPr>
            </w:r>
          </w:p>
          <w:p>
            <w:pPr>
              <w:spacing w:after="0" w:line="240" w:lineRule="auto"/>
              <w:widowControl w:val="0"/>
              <w:rPr>
                <w:rFonts w:ascii="Verdana" w:hAnsi="Verdana"/>
                <w:i/>
                <w:iCs/>
                <w:sz w:val="20"/>
                <w:szCs w:val="28"/>
                <w:u w:color="auto" w:val="single"/>
                <w:lang w:val="sl-si"/>
              </w:rPr>
            </w:pPr>
            <w:r>
              <w:rPr>
                <w:rFonts w:ascii="Verdana" w:hAnsi="Verdana"/>
                <w:i/>
                <w:iCs/>
                <w:sz w:val="20"/>
                <w:szCs w:val="28"/>
                <w:u w:color="auto" w:val="single"/>
                <w:lang w:val="sl-si"/>
              </w:rPr>
              <w:t>Pred prevzemom mora biti IS posodobljen z zadnjimi spremembami, ki jih zahtevata organizacija in zakonodaja.</w:t>
            </w:r>
          </w:p>
          <w:p>
            <w:pPr>
              <w:spacing w:after="0" w:line="240" w:lineRule="auto"/>
              <w:widowControl w:val="0"/>
              <w:rPr>
                <w:rFonts w:ascii="Verdana" w:hAnsi="Verdana"/>
                <w:b/>
                <w:bCs/>
                <w:i/>
                <w:iCs/>
                <w:sz w:val="20"/>
                <w:szCs w:val="28"/>
                <w:u w:color="auto" w:val="single"/>
                <w:lang w:val="sl-si"/>
              </w:rPr>
            </w:pPr>
            <w:r>
              <w:rPr>
                <w:rFonts w:ascii="Verdana" w:hAnsi="Verdana"/>
                <w:b/>
                <w:bCs/>
                <w:i/>
                <w:iCs/>
                <w:sz w:val="20"/>
                <w:szCs w:val="28"/>
                <w:u w:color="auto" w:val="single"/>
                <w:lang w:val="sl-si"/>
              </w:rPr>
            </w:r>
          </w:p>
          <w:p>
            <w:pPr>
              <w:spacing w:after="0" w:line="240" w:lineRule="auto"/>
              <w:widowControl w:val="0"/>
              <w:rPr>
                <w:rFonts w:ascii="Verdana" w:hAnsi="Verdana"/>
                <w:b/>
                <w:bCs/>
                <w:sz w:val="20"/>
                <w:szCs w:val="28"/>
                <w:lang w:val="sl-si"/>
              </w:rPr>
            </w:pPr>
            <w:r>
              <w:rPr>
                <w:rFonts w:ascii="Verdana" w:hAnsi="Verdana"/>
                <w:b/>
                <w:bCs/>
                <w:sz w:val="20"/>
                <w:szCs w:val="28"/>
                <w:lang w:val="sl-si"/>
              </w:rPr>
            </w:r>
          </w:p>
          <w:p>
            <w:pPr>
              <w:spacing w:after="0" w:line="240" w:lineRule="auto"/>
              <w:widowControl w:val="0"/>
              <w:rPr>
                <w:rFonts w:ascii="Verdana" w:hAnsi="Verdana"/>
                <w:b/>
                <w:bCs/>
                <w:sz w:val="20"/>
                <w:szCs w:val="28"/>
                <w:lang w:val="sl-si"/>
              </w:rPr>
            </w:pPr>
            <w:r>
              <w:rPr>
                <w:rFonts w:ascii="Verdana" w:hAnsi="Verdana"/>
                <w:b/>
                <w:bCs/>
                <w:sz w:val="20"/>
                <w:szCs w:val="28"/>
                <w:lang w:val="sl-si"/>
              </w:rPr>
              <w:t>FAZE IZVEDBE PROJEKTA, VEZANE NA IZVEDBENE ROKE, BANČNO GARANCIJO IN MOŽNOST ODPOVEDI POGODBE (od podpisa pogodbe):</w:t>
            </w:r>
          </w:p>
          <w:p>
            <w:pPr>
              <w:spacing w:after="0" w:line="240" w:lineRule="auto"/>
              <w:widowControl w:val="0"/>
              <w:rPr>
                <w:rFonts w:ascii="Verdana" w:hAnsi="Verdana"/>
                <w:b/>
                <w:bCs/>
                <w:sz w:val="20"/>
                <w:szCs w:val="28"/>
                <w:lang w:val="sl-si"/>
              </w:rPr>
            </w:pPr>
            <w:r>
              <w:rPr>
                <w:rFonts w:ascii="Verdana" w:hAnsi="Verdana"/>
                <w:b/>
                <w:bCs/>
                <w:sz w:val="20"/>
                <w:szCs w:val="28"/>
                <w:lang w:val="sl-si"/>
              </w:rPr>
            </w:r>
          </w:p>
          <w:p>
            <w:pPr>
              <w:pStyle w:val="para38"/>
              <w:numPr>
                <w:ilvl w:val="0"/>
                <w:numId w:val="7"/>
              </w:numPr>
              <w:ind w:left="720" w:firstLine="0"/>
              <w:spacing w:after="0" w:line="240" w:lineRule="auto"/>
              <w:widowControl w:val="0"/>
              <w:rPr>
                <w:rFonts w:ascii="Verdana" w:hAnsi="Verdana"/>
                <w:b/>
                <w:bCs/>
                <w:sz w:val="20"/>
                <w:szCs w:val="28"/>
                <w:lang w:val="sl-si"/>
              </w:rPr>
            </w:pPr>
            <w:r>
              <w:rPr>
                <w:rFonts w:ascii="Verdana" w:hAnsi="Verdana"/>
                <w:b/>
                <w:bCs/>
                <w:sz w:val="20"/>
                <w:szCs w:val="28"/>
                <w:lang w:val="sl-si"/>
              </w:rPr>
              <w:t>Vzpostavitev projektne organizacije, uskladitev pogojev za migracijo podatkov z naročnikom in drugimi izvajalci, analiza procesov ter izdelava načrta inštalacije in uvedbe novega informacijskega sistema - 30 dni;</w:t>
            </w:r>
          </w:p>
          <w:p>
            <w:pPr>
              <w:pStyle w:val="para38"/>
              <w:numPr>
                <w:ilvl w:val="0"/>
                <w:numId w:val="7"/>
              </w:numPr>
              <w:ind w:left="720" w:firstLine="0"/>
              <w:spacing w:after="0" w:line="240" w:lineRule="auto"/>
              <w:widowControl w:val="0"/>
              <w:rPr>
                <w:rFonts w:ascii="Verdana" w:hAnsi="Verdana"/>
                <w:b/>
                <w:bCs/>
                <w:sz w:val="20"/>
                <w:szCs w:val="28"/>
                <w:lang w:val="sl-si"/>
              </w:rPr>
            </w:pPr>
            <w:r>
              <w:rPr>
                <w:rFonts w:ascii="Verdana" w:hAnsi="Verdana"/>
                <w:b/>
                <w:bCs/>
                <w:sz w:val="20"/>
                <w:szCs w:val="28"/>
                <w:lang w:val="sl-si"/>
              </w:rPr>
              <w:t>Namestitev informacijskega sistema na informacijskem okolju naročnika (in/ali v oblaku) - 60 dni;</w:t>
            </w:r>
          </w:p>
          <w:p>
            <w:pPr>
              <w:pStyle w:val="para38"/>
              <w:numPr>
                <w:ilvl w:val="0"/>
                <w:numId w:val="7"/>
              </w:numPr>
              <w:ind w:left="720" w:firstLine="0"/>
              <w:spacing w:after="0" w:line="240" w:lineRule="auto"/>
              <w:widowControl w:val="0"/>
              <w:rPr>
                <w:rFonts w:ascii="Verdana" w:hAnsi="Verdana"/>
                <w:b/>
                <w:bCs/>
                <w:sz w:val="20"/>
                <w:szCs w:val="28"/>
                <w:lang w:val="sl-si"/>
              </w:rPr>
            </w:pPr>
            <w:r>
              <w:rPr>
                <w:rFonts w:ascii="Verdana" w:hAnsi="Verdana"/>
                <w:b/>
                <w:bCs/>
                <w:sz w:val="20"/>
                <w:szCs w:val="28"/>
                <w:lang w:val="sl-si"/>
              </w:rPr>
              <w:t>Migracija podatkov - 120 dni;</w:t>
            </w:r>
          </w:p>
          <w:p>
            <w:pPr>
              <w:pStyle w:val="para38"/>
              <w:numPr>
                <w:ilvl w:val="0"/>
                <w:numId w:val="7"/>
              </w:numPr>
              <w:ind w:left="720" w:firstLine="0"/>
              <w:spacing w:after="0" w:line="240" w:lineRule="auto"/>
              <w:widowControl w:val="0"/>
              <w:rPr>
                <w:rFonts w:ascii="Verdana" w:hAnsi="Verdana"/>
                <w:b/>
                <w:bCs/>
                <w:sz w:val="20"/>
                <w:szCs w:val="28"/>
                <w:lang w:val="sl-si"/>
              </w:rPr>
            </w:pPr>
            <w:r>
              <w:rPr>
                <w:rFonts w:ascii="Verdana" w:hAnsi="Verdana"/>
                <w:b/>
                <w:bCs/>
                <w:sz w:val="20"/>
                <w:szCs w:val="28"/>
                <w:lang w:val="sl-si"/>
              </w:rPr>
              <w:t>Nastavitve, prilagoditve, testiranje sistema - 150 dni;</w:t>
            </w:r>
          </w:p>
          <w:p>
            <w:pPr>
              <w:pStyle w:val="para38"/>
              <w:numPr>
                <w:ilvl w:val="0"/>
                <w:numId w:val="7"/>
              </w:numPr>
              <w:ind w:left="720" w:firstLine="0"/>
              <w:spacing w:after="0" w:line="240" w:lineRule="auto"/>
              <w:widowControl w:val="0"/>
              <w:rPr>
                <w:rFonts w:ascii="Verdana" w:hAnsi="Verdana"/>
                <w:b/>
                <w:bCs/>
                <w:sz w:val="20"/>
                <w:szCs w:val="28"/>
                <w:lang w:val="sl-si"/>
              </w:rPr>
            </w:pPr>
            <w:r>
              <w:rPr>
                <w:rFonts w:ascii="Verdana" w:hAnsi="Verdana"/>
                <w:b/>
                <w:bCs/>
                <w:sz w:val="20"/>
                <w:szCs w:val="28"/>
                <w:lang w:val="sl-si"/>
              </w:rPr>
              <w:t>Usposabljanje uporabnikov in testiranje sistema po oddelkih in funkcionalnostih z uporabniki - 210 dni;</w:t>
            </w:r>
          </w:p>
          <w:p>
            <w:pPr>
              <w:pStyle w:val="para38"/>
              <w:numPr>
                <w:ilvl w:val="0"/>
                <w:numId w:val="7"/>
              </w:numPr>
              <w:ind w:left="720" w:firstLine="0"/>
              <w:spacing w:after="0" w:line="240" w:lineRule="auto"/>
              <w:widowControl w:val="0"/>
              <w:rPr>
                <w:rFonts w:ascii="Verdana" w:hAnsi="Verdana"/>
                <w:b/>
                <w:bCs/>
                <w:sz w:val="20"/>
                <w:szCs w:val="28"/>
                <w:lang w:val="sl-si"/>
              </w:rPr>
            </w:pPr>
            <w:r>
              <w:rPr>
                <w:rFonts w:ascii="Verdana" w:hAnsi="Verdana"/>
                <w:b/>
                <w:bCs/>
                <w:sz w:val="20"/>
                <w:szCs w:val="28"/>
                <w:lang w:val="sl-si"/>
              </w:rPr>
              <w:t>Končna postavitev sistema, prepis dodatnih podatkov, administratorske nastavitve, odprava napak in izboljšave sistema - 270 dni;</w:t>
            </w:r>
          </w:p>
          <w:p>
            <w:pPr>
              <w:pStyle w:val="para38"/>
              <w:numPr>
                <w:ilvl w:val="0"/>
                <w:numId w:val="7"/>
              </w:numPr>
              <w:ind w:left="720" w:firstLine="0"/>
              <w:spacing w:after="0" w:line="240" w:lineRule="auto"/>
              <w:widowControl w:val="0"/>
              <w:rPr>
                <w:rFonts w:ascii="Verdana" w:hAnsi="Verdana"/>
                <w:b/>
                <w:bCs/>
                <w:sz w:val="20"/>
                <w:szCs w:val="28"/>
                <w:lang w:val="sl-si"/>
              </w:rPr>
            </w:pPr>
            <w:r>
              <w:rPr>
                <w:rFonts w:ascii="Verdana" w:hAnsi="Verdana"/>
                <w:b/>
                <w:bCs/>
                <w:sz w:val="20"/>
                <w:szCs w:val="28"/>
                <w:lang w:val="sl-si"/>
              </w:rPr>
              <w:t>Testni produkcijski zagon sistema, spremljanje stabilnosti in zanesljivosti, zagotovitev brezhibnega delovanja, uskladitev delovanja z uporabniki, predaja  mobilnih aplikacij v testiranje - 330 dni;</w:t>
            </w:r>
          </w:p>
          <w:p>
            <w:pPr>
              <w:pStyle w:val="para38"/>
              <w:numPr>
                <w:ilvl w:val="0"/>
                <w:numId w:val="7"/>
              </w:numPr>
              <w:ind w:left="720" w:firstLine="0"/>
              <w:spacing w:after="0" w:line="240" w:lineRule="auto"/>
              <w:widowControl w:val="0"/>
              <w:rPr>
                <w:rFonts w:ascii="Verdana" w:hAnsi="Verdana"/>
                <w:b/>
                <w:bCs/>
                <w:sz w:val="20"/>
                <w:szCs w:val="28"/>
                <w:lang w:val="sl-si"/>
              </w:rPr>
            </w:pPr>
            <w:r>
              <w:rPr>
                <w:rFonts w:ascii="Verdana" w:hAnsi="Verdana"/>
                <w:b/>
                <w:bCs/>
                <w:sz w:val="20"/>
                <w:szCs w:val="28"/>
                <w:lang w:val="sl-si"/>
              </w:rPr>
              <w:t>vzporedno produkcijsko delovanje sistema, predaja mobilnih aplikacij v produkcijo, predaja tehnične in uporabniške dokumentacije - 360 dni;</w:t>
            </w:r>
          </w:p>
          <w:p>
            <w:pPr>
              <w:pStyle w:val="para38"/>
              <w:numPr>
                <w:ilvl w:val="0"/>
                <w:numId w:val="7"/>
              </w:numPr>
              <w:ind w:left="720" w:firstLine="0"/>
              <w:spacing w:after="0" w:line="240" w:lineRule="auto"/>
              <w:widowControl w:val="0"/>
              <w:rPr>
                <w:rFonts w:ascii="Verdana" w:hAnsi="Verdana"/>
                <w:b/>
                <w:bCs/>
                <w:sz w:val="20"/>
                <w:szCs w:val="28"/>
                <w:lang w:val="sl-si"/>
              </w:rPr>
            </w:pPr>
            <w:r>
              <w:rPr>
                <w:rFonts w:ascii="Verdana" w:hAnsi="Verdana"/>
                <w:b/>
                <w:bCs/>
                <w:sz w:val="20"/>
                <w:szCs w:val="28"/>
                <w:lang w:val="sl-si"/>
              </w:rPr>
              <w:t>prevzem sistema v produkcijo in vzdrževanje - 365 dni.</w:t>
            </w:r>
          </w:p>
          <w:p>
            <w:pPr>
              <w:pStyle w:val="para38"/>
              <w:numPr>
                <w:ilvl w:val="0"/>
                <w:numId w:val="7"/>
              </w:numPr>
              <w:ind w:left="720" w:firstLine="0"/>
              <w:spacing w:after="0" w:line="240" w:lineRule="auto"/>
              <w:widowControl w:val="0"/>
              <w:rPr>
                <w:rFonts w:ascii="Verdana" w:hAnsi="Verdana"/>
                <w:b/>
                <w:bCs/>
                <w:sz w:val="20"/>
                <w:szCs w:val="28"/>
                <w:lang w:val="sl-si"/>
              </w:rPr>
            </w:pPr>
            <w:r>
              <w:rPr>
                <w:rFonts w:ascii="Verdana" w:hAnsi="Verdana"/>
                <w:b/>
                <w:bCs/>
                <w:sz w:val="20"/>
                <w:szCs w:val="28"/>
                <w:lang w:val="sl-si"/>
              </w:rPr>
              <w:t>Vzdrževanje in nadgradnje - do konca veljavnosti pogodbe (za postavitev sistema in vsako funkcionalno nadgradnjo velja garancijski rok eno leto od prevzema).</w:t>
            </w:r>
          </w:p>
        </w:tc>
      </w:tr>
    </w:tbl>
    <w:p>
      <w:r/>
    </w:p>
    <w:sectPr>
      <w:footnotePr>
        <w:pos w:val="pageBottom"/>
        <w:numFmt w:val="decimal"/>
        <w:numStart w:val="1"/>
        <w:numRestart w:val="continuous"/>
      </w:footnotePr>
      <w:endnotePr>
        <w:pos w:val="docEnd"/>
        <w:numFmt w:val="lowerRoman"/>
        <w:numStart w:val="1"/>
        <w:numRestart w:val="continuous"/>
      </w:endnotePr>
      <w:headerReference w:type="default" r:id="rId8"/>
      <w:footerReference w:type="default" r:id="rId9"/>
      <w:type w:val="nextPage"/>
      <w:pgSz w:h="16838" w:w="11906"/>
      <w:pgMar w:left="1134" w:top="1418" w:right="1134" w:bottom="1418" w:header="709" w:footer="709"/>
      <w:paperSrc w:first="0" w:other="0" a="0" b="0"/>
      <w:pgNumType w:fmt="decimal"/>
      <w:tmGutter w:val="3"/>
      <w:mirrorMargins w:val="0"/>
      <w:tmSection w:h="-2">
        <w:tmHeader w:id="0" w:h="0" edge="709" text="0">
          <w:shd w:val="none"/>
        </w:tmHeader>
        <w:tmFooter w:id="0" w:h="0" edge="709"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sic Roman">
    <w:charset w:val="00"/>
    <w:family w:val="roman"/>
    <w:pitch w:val="default"/>
  </w:font>
  <w:font w:name="Basic Sans">
    <w:charset w:val="00"/>
    <w:family w:val="roman"/>
    <w:pitch w:val="default"/>
  </w:font>
  <w:font w:name="Times New Roman">
    <w:charset w:val="00"/>
    <w:family w:val="roman"/>
    <w:pitch w:val="default"/>
  </w:font>
  <w:font w:name="Symbol">
    <w:charset w:val="02"/>
    <w:family w:val="roman"/>
    <w:pitch w:val="default"/>
  </w:font>
  <w:font w:name="Arial">
    <w:charset w:val="00"/>
    <w:family w:val="swiss"/>
    <w:pitch w:val="default"/>
  </w:font>
  <w:font w:name="Liberation Serif">
    <w:charset w:val="01"/>
    <w:family w:val="roman"/>
    <w:pitch w:val="default"/>
  </w:font>
  <w:font w:name="Calibri">
    <w:charset w:val="01"/>
    <w:family w:val="roman"/>
    <w:pitch w:val="default"/>
  </w:font>
  <w:font w:name="Segoe UI">
    <w:charset w:val="01"/>
    <w:family w:val="roman"/>
    <w:pitch w:val="default"/>
  </w:font>
  <w:font w:name="Liberation Sans">
    <w:charset w:val="01"/>
    <w:family w:val="roman"/>
    <w:pitch w:val="default"/>
  </w:font>
  <w:font w:name="Verdana">
    <w:charset w:val="01"/>
    <w:family w:val="roman"/>
    <w:pitch w:val="default"/>
  </w:font>
  <w:font w:name="Courier New">
    <w:charset w:val="01"/>
    <w:family w:val="auto"/>
    <w:pitch w:val="default"/>
  </w:font>
  <w:font w:name="Wingdings">
    <w:charset w:val="02"/>
    <w:family w:val="auto"/>
    <w:pitch w:val="default"/>
  </w:font>
  <w:font w:name="Noto Sans CJK SC">
    <w:charset w:val="00"/>
    <w:family w:val="roman"/>
    <w:pitch w:val="default"/>
  </w:font>
  <w:font w:name="FreeSans">
    <w:charset w:val="00"/>
    <w:family w:val="roman"/>
    <w:pitch w:val="default"/>
  </w:font>
  <w:font w:name="Lohit Devanagari">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tbl>
    <w:tblPr>
      <w:tblStyle w:val="TableNormal"/>
      <w:name w:val="Table5"/>
      <w:tabOrder w:val="0"/>
      <w:jc w:val="left"/>
      <w:tblInd w:w="0" w:type="dxa"/>
      <w:tblW w:w="9638" w:type="dxa"/>
      <w:tblLook w:val="04A0" w:firstRow="1" w:lastRow="0" w:firstColumn="1" w:lastColumn="0" w:noHBand="0" w:noVBand="1"/>
    </w:tblPr>
    <w:tblGrid>
      <w:gridCol w:w="4832"/>
      <w:gridCol w:w="4806"/>
    </w:tblGrid>
    <w:tr>
      <w:trPr>
        <w:cantSplit w:val="0"/>
        <w:trHeight w:val="0" w:hRule="auto"/>
      </w:trPr>
      <w:tc>
        <w:tcPr>
          <w:tcW w:w="4832" w:type="dxa"/>
          <w:shd w:val="none"/>
          <w:tcMar>
            <w:top w:w="0" w:type="dxa"/>
            <w:left w:w="108" w:type="dxa"/>
            <w:bottom w:w="0" w:type="dxa"/>
            <w:right w:w="108" w:type="dxa"/>
          </w:tcMar>
          <w:tcBorders>
            <w:top w:val="single" w:sz="4" w:space="0" w:color="000000" tmln="10, 20, 20, 0, 0"/>
          </w:tcBorders>
          <w:tmTcPr id="1642503409" protected="0"/>
        </w:tcPr>
        <w:p>
          <w:pPr>
            <w:pStyle w:val="para36"/>
            <w:spacing w:after="0" w:line="240" w:lineRule="auto"/>
            <w:widowControl w:val="0"/>
            <w:rPr>
              <w:rFonts w:ascii="Verdana" w:hAnsi="Verdana"/>
              <w:i/>
              <w:sz w:val="16"/>
              <w:szCs w:val="16"/>
              <w:vertAlign w:val="superscript"/>
              <w:lang w:val="sl-si"/>
            </w:rPr>
          </w:pPr>
          <w:r>
            <w:rPr>
              <w:rFonts w:ascii="Verdana" w:hAnsi="Verdana"/>
              <w:i/>
              <w:sz w:val="16"/>
              <w:szCs w:val="16"/>
              <w:lang w:val="sl-si"/>
            </w:rPr>
            <w:t>ePRO</w:t>
          </w:r>
          <w:r>
            <w:rPr>
              <w:rFonts w:ascii="Verdana" w:hAnsi="Verdana"/>
              <w:i/>
              <w:sz w:val="16"/>
              <w:szCs w:val="16"/>
              <w:vertAlign w:val="superscript"/>
              <w:lang w:val="sl-si"/>
            </w:rPr>
            <w:t>©</w:t>
          </w:r>
          <w:r>
            <w:rPr>
              <w:rFonts w:ascii="Verdana" w:hAnsi="Verdana"/>
              <w:i/>
              <w:sz w:val="16"/>
              <w:szCs w:val="16"/>
              <w:vertAlign w:val="superscript"/>
              <w:lang w:val="sl-si"/>
            </w:rPr>
          </w:r>
        </w:p>
      </w:tc>
      <w:tc>
        <w:tcPr>
          <w:tcW w:w="4806" w:type="dxa"/>
          <w:vAlign w:val="center"/>
          <w:shd w:val="none"/>
          <w:tcMar>
            <w:top w:w="0" w:type="dxa"/>
            <w:left w:w="108" w:type="dxa"/>
            <w:bottom w:w="0" w:type="dxa"/>
            <w:right w:w="108" w:type="dxa"/>
          </w:tcMar>
          <w:tcBorders>
            <w:top w:val="single" w:sz="4" w:space="0" w:color="000000" tmln="10, 20, 20, 0, 0"/>
          </w:tcBorders>
          <w:tmTcPr id="1642503409" protected="0"/>
        </w:tcPr>
        <w:p>
          <w:pPr>
            <w:pStyle w:val="para36"/>
            <w:spacing w:after="0" w:line="240" w:lineRule="auto"/>
            <w:jc w:val="right"/>
            <w:widowControl w:val="0"/>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instrText xml:space="preserve"> PAGE </w:instrText>
            <w:fldChar w:fldCharType="separate"/>
            <w:t>1</w:t>
            <w:fldChar w:fldCharType="end"/>
          </w:r>
          <w:r>
            <w:rPr>
              <w:rFonts w:ascii="Verdana" w:hAnsi="Verdana"/>
              <w:sz w:val="16"/>
              <w:szCs w:val="16"/>
              <w:lang w:val="sl-si"/>
            </w:rPr>
            <w:t>/</w:t>
          </w:r>
          <w:r>
            <w:rPr>
              <w:rFonts w:ascii="Verdana" w:hAnsi="Verdana"/>
              <w:sz w:val="16"/>
              <w:szCs w:val="16"/>
              <w:lang w:val="sl-si"/>
            </w:rPr>
            <w:fldChar w:fldCharType="begin"/>
            <w:instrText xml:space="preserve"> NUMPAGES </w:instrText>
            <w:fldChar w:fldCharType="separate"/>
            <w:t>8</w:t>
            <w:fldChar w:fldCharType="end"/>
          </w:r>
        </w:p>
      </w:tc>
    </w:tr>
  </w:tbl>
  <w:p>
    <w:pPr>
      <w:pStyle w:val="para36"/>
    </w:pPr>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tbl>
    <w:tblPr>
      <w:tblStyle w:val="TableNormal"/>
      <w:name w:val="Table6"/>
      <w:tabOrder w:val="0"/>
      <w:jc w:val="left"/>
      <w:tblInd w:w="0" w:type="dxa"/>
      <w:tblW w:w="9638" w:type="dxa"/>
      <w:tblLook w:val="04A0" w:firstRow="1" w:lastRow="0" w:firstColumn="1" w:lastColumn="0" w:noHBand="0" w:noVBand="1"/>
    </w:tblPr>
    <w:tblGrid>
      <w:gridCol w:w="4727"/>
      <w:gridCol w:w="4911"/>
    </w:tblGrid>
    <w:tr>
      <w:trPr>
        <w:cantSplit w:val="0"/>
        <w:trHeight w:val="0" w:hRule="auto"/>
      </w:trPr>
      <w:tc>
        <w:tcPr>
          <w:tcW w:w="4727" w:type="dxa"/>
          <w:shd w:val="none"/>
          <w:tcMar>
            <w:top w:w="0" w:type="dxa"/>
            <w:left w:w="108" w:type="dxa"/>
            <w:bottom w:w="0" w:type="dxa"/>
            <w:right w:w="108" w:type="dxa"/>
          </w:tcMar>
          <w:tcBorders>
            <w:bottom w:val="single" w:sz="4" w:space="0" w:color="000000" tmln="10, 20, 20, 0, 0"/>
          </w:tcBorders>
          <w:tmTcPr id="1642503409" protected="0"/>
        </w:tcPr>
        <w:p>
          <w:pPr>
            <w:pStyle w:val="para35"/>
            <w:spacing w:after="0" w:line="240" w:lineRule="auto"/>
            <w:widowControl w:val="0"/>
            <w:rPr>
              <w:rFonts w:ascii="Verdana" w:hAnsi="Verdana"/>
              <w:sz w:val="16"/>
              <w:szCs w:val="16"/>
              <w:lang w:val="sl-si"/>
            </w:rPr>
          </w:pPr>
          <w:r>
            <w:rPr>
              <w:rFonts w:ascii="Verdana" w:hAnsi="Verdana"/>
              <w:sz w:val="16"/>
              <w:szCs w:val="16"/>
              <w:lang w:val="sl-si"/>
            </w:rPr>
            <w:t>ePRO</w:t>
          </w:r>
        </w:p>
      </w:tc>
      <w:tc>
        <w:tcPr>
          <w:tcW w:w="4911" w:type="dxa"/>
          <w:shd w:val="none"/>
          <w:tcMar>
            <w:top w:w="0" w:type="dxa"/>
            <w:left w:w="108" w:type="dxa"/>
            <w:bottom w:w="0" w:type="dxa"/>
            <w:right w:w="108" w:type="dxa"/>
          </w:tcMar>
          <w:tcBorders>
            <w:bottom w:val="single" w:sz="4" w:space="0" w:color="000000" tmln="10, 20, 20, 0, 0"/>
          </w:tcBorders>
          <w:tmTcPr id="1642503409" protected="0"/>
        </w:tcPr>
        <w:p>
          <w:pPr>
            <w:pStyle w:val="para35"/>
            <w:spacing w:after="0" w:line="240" w:lineRule="auto"/>
            <w:jc w:val="right"/>
            <w:widowControl w:val="0"/>
            <w:rPr>
              <w:rFonts w:ascii="Verdana" w:hAnsi="Verdana"/>
              <w:sz w:val="16"/>
              <w:szCs w:val="16"/>
              <w:lang w:val="sl-si"/>
            </w:rPr>
          </w:pPr>
          <w:r>
            <w:rPr>
              <w:rFonts w:ascii="Verdana" w:hAnsi="Verdana"/>
              <w:sz w:val="16"/>
              <w:szCs w:val="16"/>
              <w:lang w:val="sl-si"/>
            </w:rPr>
            <w:t xml:space="preserve">Specifikacije </w:t>
          </w:r>
        </w:p>
      </w:tc>
    </w:tr>
  </w:tbl>
  <w:p>
    <w:pPr>
      <w:pStyle w:val="para35"/>
    </w:p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Numbered list 1"/>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
    <w:multiLevelType w:val="hybridMultilevel"/>
    <w:name w:val="Numbered list 2"/>
    <w:lvl w:ilvl="0">
      <w:numFmt w:val="bullet"/>
      <w:suff w:val="tab"/>
      <w:lvlText w:val="-"/>
      <w:lvlJc w:val="left"/>
      <w:pPr>
        <w:ind w:left="360" w:hanging="0"/>
      </w:pPr>
      <w:rPr>
        <w:rFonts w:ascii="Verdana" w:hAnsi="Verdana" w:cs="Verdana"/>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cs="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cs="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abstractNum>
  <w:abstractNum w:abstractNumId="3">
    <w:multiLevelType w:val="hybridMultilevel"/>
    <w:name w:val="Numbered list 3"/>
    <w:lvl w:ilvl="0">
      <w:numFmt w:val="bullet"/>
      <w:suff w:val="tab"/>
      <w:lvlText w:val="-"/>
      <w:lvlJc w:val="left"/>
      <w:pPr>
        <w:ind w:left="360" w:hanging="0"/>
      </w:pPr>
      <w:rPr>
        <w:rFonts w:ascii="Verdana" w:hAnsi="Verdana" w:cs="Verdana"/>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cs="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cs="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abstractNum>
  <w:abstractNum w:abstractNumId="4">
    <w:multiLevelType w:val="hybridMultilevel"/>
    <w:name w:val="Numbered list 4"/>
    <w:lvl w:ilvl="0">
      <w:numFmt w:val="bullet"/>
      <w:suff w:val="tab"/>
      <w:lvlText w:val="-"/>
      <w:lvlJc w:val="left"/>
      <w:pPr>
        <w:ind w:left="360" w:hanging="0"/>
      </w:pPr>
      <w:rPr>
        <w:rFonts w:ascii="Verdana" w:hAnsi="Verdana" w:cs="Verdana"/>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cs="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cs="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abstractNum>
  <w:abstractNum w:abstractNumId="5">
    <w:multiLevelType w:val="hybridMultilevel"/>
    <w:name w:val="Numbered list 5"/>
    <w:lvl w:ilvl="0">
      <w:numFmt w:val="bullet"/>
      <w:suff w:val="tab"/>
      <w:lvlText w:val="–"/>
      <w:lvlJc w:val="left"/>
      <w:pPr>
        <w:ind w:left="349" w:hanging="0"/>
      </w:pPr>
      <w:rPr>
        <w:rFonts w:ascii="Arial" w:hAnsi="Arial" w:cs="Arial"/>
      </w:rPr>
    </w:lvl>
    <w:lvl w:ilvl="1">
      <w:numFmt w:val="bullet"/>
      <w:suff w:val="tab"/>
      <w:lvlText w:val="o"/>
      <w:lvlJc w:val="left"/>
      <w:pPr>
        <w:ind w:left="1069" w:hanging="0"/>
      </w:pPr>
      <w:rPr>
        <w:rFonts w:ascii="Courier New" w:hAnsi="Courier New" w:cs="Courier New"/>
      </w:rPr>
    </w:lvl>
    <w:lvl w:ilvl="2">
      <w:numFmt w:val="bullet"/>
      <w:suff w:val="tab"/>
      <w:lvlText w:val="§"/>
      <w:lvlJc w:val="left"/>
      <w:pPr>
        <w:ind w:left="1789" w:hanging="0"/>
      </w:pPr>
      <w:rPr>
        <w:rFonts w:ascii="Wingdings" w:hAnsi="Wingdings" w:cs="Wingdings"/>
      </w:rPr>
    </w:lvl>
    <w:lvl w:ilvl="3">
      <w:numFmt w:val="bullet"/>
      <w:suff w:val="tab"/>
      <w:lvlText w:val="·"/>
      <w:lvlJc w:val="left"/>
      <w:pPr>
        <w:ind w:left="2509" w:hanging="0"/>
      </w:pPr>
      <w:rPr>
        <w:rFonts w:ascii="Symbol" w:hAnsi="Symbol" w:cs="Symbol"/>
      </w:rPr>
    </w:lvl>
    <w:lvl w:ilvl="4">
      <w:numFmt w:val="bullet"/>
      <w:suff w:val="tab"/>
      <w:lvlText w:val="o"/>
      <w:lvlJc w:val="left"/>
      <w:pPr>
        <w:ind w:left="3229" w:hanging="0"/>
      </w:pPr>
      <w:rPr>
        <w:rFonts w:ascii="Courier New" w:hAnsi="Courier New" w:cs="Courier New"/>
      </w:rPr>
    </w:lvl>
    <w:lvl w:ilvl="5">
      <w:numFmt w:val="bullet"/>
      <w:suff w:val="tab"/>
      <w:lvlText w:val="§"/>
      <w:lvlJc w:val="left"/>
      <w:pPr>
        <w:ind w:left="3949" w:hanging="0"/>
      </w:pPr>
      <w:rPr>
        <w:rFonts w:ascii="Wingdings" w:hAnsi="Wingdings" w:cs="Wingdings"/>
      </w:rPr>
    </w:lvl>
    <w:lvl w:ilvl="6">
      <w:numFmt w:val="bullet"/>
      <w:suff w:val="tab"/>
      <w:lvlText w:val="·"/>
      <w:lvlJc w:val="left"/>
      <w:pPr>
        <w:ind w:left="4669" w:hanging="0"/>
      </w:pPr>
      <w:rPr>
        <w:rFonts w:ascii="Symbol" w:hAnsi="Symbol" w:cs="Symbol"/>
      </w:rPr>
    </w:lvl>
    <w:lvl w:ilvl="7">
      <w:numFmt w:val="bullet"/>
      <w:suff w:val="tab"/>
      <w:lvlText w:val="o"/>
      <w:lvlJc w:val="left"/>
      <w:pPr>
        <w:ind w:left="5389" w:hanging="0"/>
      </w:pPr>
      <w:rPr>
        <w:rFonts w:ascii="Courier New" w:hAnsi="Courier New" w:cs="Courier New"/>
      </w:rPr>
    </w:lvl>
    <w:lvl w:ilvl="8">
      <w:numFmt w:val="bullet"/>
      <w:suff w:val="tab"/>
      <w:lvlText w:val="§"/>
      <w:lvlJc w:val="left"/>
      <w:pPr>
        <w:ind w:left="6109" w:hanging="0"/>
      </w:pPr>
      <w:rPr>
        <w:rFonts w:ascii="Wingdings" w:hAnsi="Wingdings" w:cs="Wingdings"/>
      </w:rPr>
    </w:lvl>
  </w:abstractNum>
  <w:abstractNum w:abstractNumId="6">
    <w:multiLevelType w:val="hybridMultilevel"/>
    <w:name w:val="Numbered list 6"/>
    <w:lvl w:ilvl="0">
      <w:numFmt w:val="bullet"/>
      <w:suff w:val="tab"/>
      <w:lvlText w:val="-"/>
      <w:lvlJc w:val="left"/>
      <w:pPr>
        <w:ind w:left="360" w:hanging="0"/>
      </w:pPr>
      <w:rPr>
        <w:rFonts w:ascii="Verdana" w:hAnsi="Verdana" w:cs="Verdana"/>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cs="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cs="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abstractNum>
  <w:abstractNum w:abstractNumId="7">
    <w:multiLevelType w:val="hybridMultilevel"/>
    <w:name w:val="Numbered list 7"/>
    <w:lvl w:ilvl="0">
      <w:start w:val="1"/>
      <w:numFmt w:val="decimal"/>
      <w:suff w:val="tab"/>
      <w:lvlText w:val="%1."/>
      <w:lvlJc w:val="left"/>
      <w:pPr>
        <w:ind w:left="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8">
    <w:multiLevelType w:val="hybridMultilevel"/>
    <w:name w:val="Numbered list 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20"/>
  <w:autoHyphenation w:val="1"/>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lowerRoman"/>
    <w:numStart w:val="1"/>
    <w:numRestart w:val="continuous"/>
  </w:endnotePr>
  <w:compat>
    <w:compatSetting w:name="compatibilityMode" w:uri="http://schemas.microsoft.com/office/word" w:val="15"/>
  </w:compat>
  <w:shapeDefaults>
    <o:shapedefaults v:ext="edit" spidmax="3073"/>
    <o:shapelayout v:ext="edit">
      <o:rules v:ext="edit"/>
    </o:shapelayout>
  </w:shapeDefaults>
  <w:tmPrefOne w:val="17"/>
  <w:tmPrefTwo w:val="1"/>
  <w:tmFmtPref w:val="55057515"/>
  <w:tmCommentsPr>
    <w:tmCommentsPlace w:val="0"/>
    <w:tmCommentsWidth w:val="3119"/>
    <w:tmCommentsColor w:val="-1"/>
  </w:tmCommentsPr>
  <w:tmReviewPr>
    <w:tmReviewEnabled w:val="0"/>
    <w:tmReviewShow w:val="1"/>
    <w:tmReviewPrint w:val="0"/>
    <w:tmRevisionNum w:val="33"/>
    <w:tmReviewMarkIns w:val="4"/>
    <w:tmReviewColorIns w:val="-1"/>
    <w:tmReviewMarkDel w:val="6"/>
    <w:tmReviewColorDel w:val="-1"/>
    <w:tmReviewMarkFmt w:val="1"/>
    <w:tmReviewColorFmt w:val="-1"/>
    <w:tmReviewMarkLn w:val="1"/>
    <w:tmReviewColorLn w:val="0"/>
    <w:tmReviewToolTip w:val="1"/>
  </w:tmReviewPr>
  <w:tmLastPos>
    <w:tmLastPosPage w:val="0"/>
    <w:tmLastPosSelect w:val="0"/>
    <w:tmLastPosFrameIdx w:val="4"/>
    <w:tmLastPosCaret>
      <w:tmLastPosPgfIdx w:val="0"/>
      <w:tmLastPosIdx w:val="12"/>
    </w:tmLastPosCaret>
    <w:tmLastPosAnchor>
      <w:tmLastPosPgfIdx w:val="0"/>
      <w:tmLastPosIdx w:val="0"/>
    </w:tmLastPosAnchor>
    <w:tmLastPosTblRect w:left="0" w:top="0" w:right="0" w:bottom="0"/>
  </w:tmLastPos>
  <w:tmAppRevision w:date="1642503409" w:val="1036" w:fileVer="342" w:fileVer64="64" w:fileVerOS="3"/>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Times New Roman"/>
        <w:sz w:val="20"/>
        <w:szCs w:val="20"/>
        <w:lang w:val="sl-si" w:eastAsia="sl-si" w:bidi="ar-sa"/>
      </w:rPr>
    </w:rPrDefault>
    <w:pPrDefault>
      <w:pPr>
        <w:spacing w:after="200" w:line="276" w:lineRule="auto"/>
        <w:suppressAutoHyphens/>
        <w:hyphenationLines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kern w:val="1"/>
      <w:sz w:val="22"/>
      <w:szCs w:val="22"/>
      <w:lang w:val="en-us" w:eastAsia="en-us"/>
    </w:rPr>
  </w:style>
  <w:style w:type="paragraph" w:styleId="para1">
    <w:name w:val="heading 1"/>
    <w:qFormat/>
    <w:basedOn w:val="para0"/>
    <w:pPr>
      <w:spacing w:before="480"/>
      <w:keepNext/>
      <w:outlineLvl w:val="0"/>
      <w:keepLines/>
    </w:pPr>
    <w:rPr>
      <w:rFonts w:ascii="Arial" w:hAnsi="Arial" w:eastAsia="Arial" w:cs="Arial"/>
      <w:sz w:val="40"/>
      <w:szCs w:val="40"/>
    </w:rPr>
  </w:style>
  <w:style w:type="paragraph" w:styleId="para2">
    <w:name w:val="heading 2"/>
    <w:qFormat/>
    <w:basedOn w:val="para0"/>
    <w:pPr>
      <w:spacing w:before="360"/>
      <w:keepNext/>
      <w:outlineLvl w:val="1"/>
      <w:keepLines/>
    </w:pPr>
    <w:rPr>
      <w:rFonts w:ascii="Arial" w:hAnsi="Arial" w:eastAsia="Arial" w:cs="Arial"/>
      <w:sz w:val="34"/>
    </w:rPr>
  </w:style>
  <w:style w:type="paragraph" w:styleId="para3">
    <w:name w:val="heading 3"/>
    <w:qFormat/>
    <w:basedOn w:val="para0"/>
    <w:pPr>
      <w:spacing w:before="320"/>
      <w:keepNext/>
      <w:outlineLvl w:val="2"/>
      <w:keepLines/>
    </w:pPr>
    <w:rPr>
      <w:rFonts w:ascii="Arial" w:hAnsi="Arial" w:eastAsia="Arial" w:cs="Arial"/>
      <w:sz w:val="30"/>
      <w:szCs w:val="30"/>
    </w:rPr>
  </w:style>
  <w:style w:type="paragraph" w:styleId="para4">
    <w:name w:val="heading 4"/>
    <w:qFormat/>
    <w:basedOn w:val="para0"/>
    <w:pPr>
      <w:spacing w:before="320"/>
      <w:keepNext/>
      <w:outlineLvl w:val="3"/>
      <w:keepLines/>
    </w:pPr>
    <w:rPr>
      <w:rFonts w:ascii="Arial" w:hAnsi="Arial" w:eastAsia="Arial" w:cs="Arial"/>
      <w:b/>
      <w:bCs/>
      <w:sz w:val="26"/>
      <w:szCs w:val="26"/>
    </w:rPr>
  </w:style>
  <w:style w:type="paragraph" w:styleId="para5">
    <w:name w:val="heading 5"/>
    <w:qFormat/>
    <w:basedOn w:val="para0"/>
    <w:pPr>
      <w:spacing w:before="320"/>
      <w:keepNext/>
      <w:outlineLvl w:val="4"/>
      <w:keepLines/>
    </w:pPr>
    <w:rPr>
      <w:rFonts w:ascii="Arial" w:hAnsi="Arial" w:eastAsia="Arial" w:cs="Arial"/>
      <w:b/>
      <w:bCs/>
      <w:sz w:val="24"/>
      <w:szCs w:val="24"/>
    </w:rPr>
  </w:style>
  <w:style w:type="paragraph" w:styleId="para6">
    <w:name w:val="heading 6"/>
    <w:qFormat/>
    <w:basedOn w:val="para0"/>
    <w:pPr>
      <w:spacing w:before="320"/>
      <w:keepNext/>
      <w:outlineLvl w:val="5"/>
      <w:keepLines/>
    </w:pPr>
    <w:rPr>
      <w:rFonts w:ascii="Arial" w:hAnsi="Arial" w:eastAsia="Arial" w:cs="Arial"/>
      <w:b/>
      <w:bCs/>
    </w:rPr>
  </w:style>
  <w:style w:type="paragraph" w:styleId="para7">
    <w:name w:val="heading 7"/>
    <w:qFormat/>
    <w:basedOn w:val="para0"/>
    <w:pPr>
      <w:spacing w:before="320"/>
      <w:keepNext/>
      <w:outlineLvl w:val="6"/>
      <w:keepLines/>
    </w:pPr>
    <w:rPr>
      <w:rFonts w:ascii="Arial" w:hAnsi="Arial" w:eastAsia="Arial" w:cs="Arial"/>
      <w:b/>
      <w:bCs/>
      <w:i/>
      <w:iCs/>
    </w:rPr>
  </w:style>
  <w:style w:type="paragraph" w:styleId="para8">
    <w:name w:val="heading 8"/>
    <w:qFormat/>
    <w:basedOn w:val="para0"/>
    <w:pPr>
      <w:spacing w:before="320"/>
      <w:keepNext/>
      <w:outlineLvl w:val="7"/>
      <w:keepLines/>
    </w:pPr>
    <w:rPr>
      <w:rFonts w:ascii="Arial" w:hAnsi="Arial" w:eastAsia="Arial" w:cs="Arial"/>
      <w:i/>
      <w:iCs/>
    </w:rPr>
  </w:style>
  <w:style w:type="paragraph" w:styleId="para9">
    <w:name w:val="heading 9"/>
    <w:qFormat/>
    <w:basedOn w:val="para0"/>
    <w:pPr>
      <w:spacing w:before="320"/>
      <w:keepNext/>
      <w:outlineLvl w:val="8"/>
      <w:keepLines/>
    </w:pPr>
    <w:rPr>
      <w:rFonts w:ascii="Arial" w:hAnsi="Arial" w:eastAsia="Arial" w:cs="Arial"/>
      <w:i/>
      <w:iCs/>
      <w:sz w:val="21"/>
      <w:szCs w:val="21"/>
    </w:rPr>
  </w:style>
  <w:style w:type="paragraph" w:styleId="para10" w:customStyle="1">
    <w:name w:val="Heading"/>
    <w:qFormat/>
    <w:basedOn w:val="para0"/>
    <w:next w:val="para11"/>
    <w:pPr>
      <w:spacing w:before="240" w:after="120"/>
      <w:keepNext/>
    </w:pPr>
    <w:rPr>
      <w:rFonts w:ascii="Liberation Sans" w:hAnsi="Liberation Sans" w:eastAsia="Noto Sans CJK SC" w:cs="FreeSans"/>
      <w:sz w:val="28"/>
      <w:szCs w:val="28"/>
    </w:rPr>
  </w:style>
  <w:style w:type="paragraph" w:styleId="para11">
    <w:name w:val="Body Text"/>
    <w:qFormat/>
    <w:basedOn w:val="para0"/>
    <w:pPr>
      <w:spacing w:after="140"/>
    </w:pPr>
  </w:style>
  <w:style w:type="paragraph" w:styleId="para12">
    <w:name w:val="List"/>
    <w:qFormat/>
    <w:basedOn w:val="para11"/>
    <w:rPr>
      <w:rFonts w:cs="FreeSans"/>
    </w:rPr>
  </w:style>
  <w:style w:type="paragraph" w:styleId="para13">
    <w:name w:val="caption"/>
    <w:qFormat/>
    <w:basedOn w:val="para0"/>
    <w:pPr>
      <w:spacing w:before="120" w:after="120"/>
      <w:suppressLineNumbers/>
    </w:pPr>
    <w:rPr>
      <w:rFonts w:cs="Lohit Devanagari"/>
      <w:i/>
      <w:iCs/>
      <w:sz w:val="24"/>
      <w:szCs w:val="24"/>
    </w:rPr>
  </w:style>
  <w:style w:type="paragraph" w:styleId="para14" w:customStyle="1">
    <w:name w:val="Index"/>
    <w:qFormat/>
    <w:basedOn w:val="para0"/>
    <w:pPr>
      <w:suppressLineNumbers/>
    </w:pPr>
    <w:rPr>
      <w:rFonts w:cs="FreeSans"/>
    </w:rPr>
  </w:style>
  <w:style w:type="paragraph" w:styleId="para15" w:customStyle="1">
    <w:name w:val="caption"/>
    <w:qFormat/>
    <w:basedOn w:val="para0"/>
    <w:rPr>
      <w:b/>
      <w:bCs/>
      <w:color w:val="5b9bd5"/>
      <w:sz w:val="18"/>
      <w:szCs w:val="18"/>
    </w:rPr>
  </w:style>
  <w:style w:type="paragraph" w:styleId="para16">
    <w:name w:val="No Spacing"/>
    <w:qFormat/>
    <w:pPr>
      <w:spacing w:after="0" w:line="240" w:lineRule="auto"/>
    </w:pPr>
    <w:rPr>
      <w:rFonts w:ascii="Calibri" w:hAnsi="Calibri" w:eastAsia="Calibri" w:cs="Times New Roman"/>
      <w:kern w:val="1"/>
      <w:lang w:val="sl-si" w:eastAsia="sl-si" w:bidi="ar-sa"/>
    </w:rPr>
  </w:style>
  <w:style w:type="paragraph" w:styleId="para17">
    <w:name w:val="Title"/>
    <w:qFormat/>
    <w:basedOn w:val="para0"/>
    <w:pPr>
      <w:spacing w:before="300"/>
      <w:contextualSpacing/>
    </w:pPr>
    <w:rPr>
      <w:sz w:val="48"/>
      <w:szCs w:val="48"/>
    </w:rPr>
  </w:style>
  <w:style w:type="paragraph" w:styleId="para18">
    <w:name w:val="Subtitle"/>
    <w:qFormat/>
    <w:basedOn w:val="para0"/>
    <w:pPr>
      <w:spacing w:before="200"/>
    </w:pPr>
    <w:rPr>
      <w:sz w:val="24"/>
      <w:szCs w:val="24"/>
    </w:rPr>
  </w:style>
  <w:style w:type="paragraph" w:styleId="para19">
    <w:name w:val="Quote"/>
    <w:qFormat/>
    <w:basedOn w:val="para0"/>
    <w:pPr>
      <w:ind w:left="720" w:right="720"/>
    </w:pPr>
    <w:rPr>
      <w:i/>
    </w:rPr>
  </w:style>
  <w:style w:type="paragraph" w:styleId="para20">
    <w:name w:val="Intense Quote"/>
    <w:qFormat/>
    <w:basedOn w:val="para0"/>
    <w:pPr>
      <w:ind w:left="720" w:right="720"/>
      <w:spacing w:after="0"/>
      <w:pBdr>
        <w:top w:val="single" w:sz="4" w:space="5" w:color="FFFFFF" tmln="10, 20, 20, 0, 100"/>
        <w:left w:val="single" w:sz="4" w:space="10" w:color="FFFFFF" tmln="10, 20, 20, 0, 200"/>
        <w:bottom w:val="single" w:sz="4" w:space="5" w:color="FFFFFF" tmln="10, 20, 20, 0, 100"/>
        <w:right w:val="single" w:sz="4" w:space="10" w:color="FFFFFF" tmln="10, 20, 20, 0, 200"/>
        <w:between w:val="nil" w:sz="0" w:space="0" w:color="000000" tmln="20, 20, 20, 0, 0"/>
      </w:pBdr>
      <w:shd w:val="solid" w:color="F2F2F2" tmshd="1677721856, 0, 15921906"/>
    </w:pPr>
    <w:rPr>
      <w:i/>
    </w:rPr>
  </w:style>
  <w:style w:type="paragraph" w:styleId="para21">
    <w:name w:val="Footnote Text"/>
    <w:qFormat/>
    <w:basedOn w:val="para0"/>
    <w:pPr>
      <w:spacing w:after="40" w:line="240" w:lineRule="auto"/>
    </w:pPr>
    <w:rPr>
      <w:sz w:val="18"/>
    </w:rPr>
  </w:style>
  <w:style w:type="paragraph" w:styleId="para22">
    <w:name w:val="Endnote Text"/>
    <w:qFormat/>
    <w:basedOn w:val="para0"/>
    <w:pPr>
      <w:spacing w:after="0" w:line="240" w:lineRule="auto"/>
    </w:pPr>
    <w:rPr>
      <w:sz w:val="20"/>
    </w:rPr>
  </w:style>
  <w:style w:type="paragraph" w:styleId="para23">
    <w:name w:val="toc 1"/>
    <w:qFormat/>
    <w:basedOn w:val="para0"/>
    <w:pPr>
      <w:spacing w:after="57"/>
    </w:pPr>
  </w:style>
  <w:style w:type="paragraph" w:styleId="para24">
    <w:name w:val="toc 2"/>
    <w:qFormat/>
    <w:basedOn w:val="para0"/>
    <w:pPr>
      <w:ind w:left="283"/>
      <w:spacing w:after="57"/>
    </w:pPr>
  </w:style>
  <w:style w:type="paragraph" w:styleId="para25">
    <w:name w:val="toc 3"/>
    <w:qFormat/>
    <w:basedOn w:val="para0"/>
    <w:pPr>
      <w:ind w:left="567"/>
      <w:spacing w:after="57"/>
    </w:pPr>
  </w:style>
  <w:style w:type="paragraph" w:styleId="para26">
    <w:name w:val="toc 4"/>
    <w:qFormat/>
    <w:basedOn w:val="para0"/>
    <w:pPr>
      <w:ind w:left="850"/>
      <w:spacing w:after="57"/>
    </w:pPr>
  </w:style>
  <w:style w:type="paragraph" w:styleId="para27">
    <w:name w:val="toc 5"/>
    <w:qFormat/>
    <w:basedOn w:val="para0"/>
    <w:pPr>
      <w:ind w:left="1134"/>
      <w:spacing w:after="57"/>
    </w:pPr>
  </w:style>
  <w:style w:type="paragraph" w:styleId="para28">
    <w:name w:val="toc 6"/>
    <w:qFormat/>
    <w:basedOn w:val="para0"/>
    <w:pPr>
      <w:ind w:left="1417"/>
      <w:spacing w:after="57"/>
    </w:pPr>
  </w:style>
  <w:style w:type="paragraph" w:styleId="para29">
    <w:name w:val="toc 7"/>
    <w:qFormat/>
    <w:basedOn w:val="para0"/>
    <w:pPr>
      <w:ind w:left="1701"/>
      <w:spacing w:after="57"/>
    </w:pPr>
  </w:style>
  <w:style w:type="paragraph" w:styleId="para30">
    <w:name w:val="toc 8"/>
    <w:qFormat/>
    <w:basedOn w:val="para0"/>
    <w:pPr>
      <w:ind w:left="1984"/>
      <w:spacing w:after="57"/>
    </w:pPr>
  </w:style>
  <w:style w:type="paragraph" w:styleId="para31">
    <w:name w:val="toc 9"/>
    <w:qFormat/>
    <w:basedOn w:val="para0"/>
    <w:pPr>
      <w:ind w:left="2268"/>
      <w:spacing w:after="57"/>
    </w:pPr>
  </w:style>
  <w:style w:type="paragraph" w:styleId="para32">
    <w:name w:val="TOC Heading"/>
    <w:qFormat/>
    <w:pPr>
      <w:spacing w:after="0" w:line="240" w:lineRule="auto"/>
    </w:pPr>
    <w:rPr>
      <w:rFonts w:ascii="Calibri" w:hAnsi="Calibri" w:eastAsia="Calibri" w:cs="Times New Roman"/>
      <w:kern w:val="1"/>
      <w:lang w:val="sl-si" w:eastAsia="sl-si" w:bidi="ar-sa"/>
    </w:rPr>
  </w:style>
  <w:style w:type="paragraph" w:styleId="para33">
    <w:name w:val="Table of Figures"/>
    <w:qFormat/>
    <w:basedOn w:val="para0"/>
    <w:pPr>
      <w:spacing w:after="0"/>
    </w:pPr>
  </w:style>
  <w:style w:type="paragraph" w:styleId="para34" w:customStyle="1">
    <w:name w:val="Header and Footer"/>
    <w:qFormat/>
    <w:basedOn w:val="para0"/>
  </w:style>
  <w:style w:type="paragraph" w:styleId="para35">
    <w:name w:val="Header"/>
    <w:qFormat/>
    <w:basedOn w:val="para0"/>
    <w:pPr>
      <w:tabs defTabSz="720">
        <w:tab w:val="center" w:pos="4680" w:leader="none"/>
        <w:tab w:val="right" w:pos="9360" w:leader="none"/>
      </w:tabs>
    </w:pPr>
  </w:style>
  <w:style w:type="paragraph" w:styleId="para36">
    <w:name w:val="Footer"/>
    <w:qFormat/>
    <w:basedOn w:val="para0"/>
    <w:pPr>
      <w:tabs defTabSz="720">
        <w:tab w:val="center" w:pos="4680" w:leader="none"/>
        <w:tab w:val="right" w:pos="9360" w:leader="none"/>
      </w:tabs>
    </w:pPr>
  </w:style>
  <w:style w:type="paragraph" w:styleId="para37">
    <w:name w:val="Balloon Text"/>
    <w:qFormat/>
    <w:basedOn w:val="para0"/>
    <w:pPr>
      <w:spacing w:after="0" w:line="240" w:lineRule="auto"/>
    </w:pPr>
    <w:rPr>
      <w:rFonts w:ascii="Segoe UI" w:hAnsi="Segoe UI" w:cs="Segoe UI"/>
      <w:sz w:val="18"/>
      <w:szCs w:val="18"/>
    </w:rPr>
  </w:style>
  <w:style w:type="paragraph" w:styleId="para38">
    <w:name w:val="List Paragraph"/>
    <w:qFormat/>
    <w:basedOn w:val="para0"/>
    <w:pPr>
      <w:ind w:left="720"/>
      <w:contextualSpacing/>
    </w:pPr>
  </w:style>
  <w:style w:type="paragraph" w:styleId="para39" w:customStyle="1">
    <w:name w:val="Table Contents"/>
    <w:qFormat/>
    <w:basedOn w:val="para0"/>
    <w:pPr>
      <w:suppressLineNumbers/>
      <w:widowControl w:val="0"/>
    </w:pPr>
  </w:style>
  <w:style w:type="paragraph" w:styleId="para40" w:customStyle="1">
    <w:name w:val="Table Heading"/>
    <w:qFormat/>
    <w:basedOn w:val="para39"/>
    <w:pPr>
      <w:spacing/>
      <w:jc w:val="center"/>
    </w:pPr>
    <w:rPr>
      <w:b/>
      <w:bCs/>
    </w:rPr>
  </w:style>
  <w:style w:type="paragraph" w:styleId="para41" w:customStyle="1">
    <w:name w:val="annotation text"/>
    <w:qFormat/>
    <w:basedOn w:val="para0"/>
    <w:pPr>
      <w:spacing w:line="240" w:lineRule="auto"/>
    </w:pPr>
    <w:rPr>
      <w:sz w:val="20"/>
      <w:szCs w:val="20"/>
    </w:rPr>
  </w:style>
  <w:style w:type="paragraph" w:styleId="para42" w:customStyle="1">
    <w:name w:val="annotation subject"/>
    <w:qFormat/>
    <w:basedOn w:val="para41"/>
    <w:next w:val="para41"/>
    <w:rPr>
      <w:b/>
      <w:bCs/>
    </w:rPr>
  </w:style>
  <w:style w:type="paragraph" w:styleId="para43" w:customStyle="1">
    <w:name w:val="Quotations"/>
    <w:qFormat/>
    <w:basedOn w:val="para0"/>
    <w:pPr>
      <w:ind w:left="567" w:right="567"/>
      <w:spacing w:after="283"/>
    </w:pPr>
  </w:style>
  <w:style w:type="character" w:styleId="char0" w:default="1">
    <w:name w:val="Default Paragraph Font"/>
  </w:style>
  <w:style w:type="character" w:styleId="char1" w:customStyle="1">
    <w:name w:val="Heading 1 Char"/>
    <w:basedOn w:val="char0"/>
    <w:rPr>
      <w:rFonts w:ascii="Arial" w:hAnsi="Arial" w:eastAsia="Arial" w:cs="Arial"/>
      <w:sz w:val="40"/>
      <w:szCs w:val="40"/>
    </w:rPr>
  </w:style>
  <w:style w:type="character" w:styleId="char2" w:customStyle="1">
    <w:name w:val="Heading 2 Char"/>
    <w:basedOn w:val="char0"/>
    <w:rPr>
      <w:rFonts w:ascii="Arial" w:hAnsi="Arial" w:eastAsia="Arial" w:cs="Arial"/>
      <w:sz w:val="34"/>
    </w:rPr>
  </w:style>
  <w:style w:type="character" w:styleId="char3" w:customStyle="1">
    <w:name w:val="Heading 3 Char"/>
    <w:basedOn w:val="char0"/>
    <w:rPr>
      <w:rFonts w:ascii="Arial" w:hAnsi="Arial" w:eastAsia="Arial" w:cs="Arial"/>
      <w:sz w:val="30"/>
      <w:szCs w:val="30"/>
    </w:rPr>
  </w:style>
  <w:style w:type="character" w:styleId="char4" w:customStyle="1">
    <w:name w:val="Heading 4 Char"/>
    <w:basedOn w:val="char0"/>
    <w:rPr>
      <w:rFonts w:ascii="Arial" w:hAnsi="Arial" w:eastAsia="Arial" w:cs="Arial"/>
      <w:b/>
      <w:bCs/>
      <w:sz w:val="26"/>
      <w:szCs w:val="26"/>
    </w:rPr>
  </w:style>
  <w:style w:type="character" w:styleId="char5" w:customStyle="1">
    <w:name w:val="Heading 5 Char"/>
    <w:basedOn w:val="char0"/>
    <w:rPr>
      <w:rFonts w:ascii="Arial" w:hAnsi="Arial" w:eastAsia="Arial" w:cs="Arial"/>
      <w:b/>
      <w:bCs/>
      <w:sz w:val="24"/>
      <w:szCs w:val="24"/>
    </w:rPr>
  </w:style>
  <w:style w:type="character" w:styleId="char6" w:customStyle="1">
    <w:name w:val="Heading 6 Char"/>
    <w:basedOn w:val="char0"/>
    <w:rPr>
      <w:rFonts w:ascii="Arial" w:hAnsi="Arial" w:eastAsia="Arial" w:cs="Arial"/>
      <w:b/>
      <w:bCs/>
      <w:sz w:val="22"/>
      <w:szCs w:val="22"/>
    </w:rPr>
  </w:style>
  <w:style w:type="character" w:styleId="char7" w:customStyle="1">
    <w:name w:val="Heading 7 Char"/>
    <w:basedOn w:val="char0"/>
    <w:rPr>
      <w:rFonts w:ascii="Arial" w:hAnsi="Arial" w:eastAsia="Arial" w:cs="Arial"/>
      <w:b/>
      <w:bCs/>
      <w:i/>
      <w:iCs/>
      <w:sz w:val="22"/>
      <w:szCs w:val="22"/>
    </w:rPr>
  </w:style>
  <w:style w:type="character" w:styleId="char8" w:customStyle="1">
    <w:name w:val="Heading 8 Char"/>
    <w:basedOn w:val="char0"/>
    <w:rPr>
      <w:rFonts w:ascii="Arial" w:hAnsi="Arial" w:eastAsia="Arial" w:cs="Arial"/>
      <w:i/>
      <w:iCs/>
      <w:sz w:val="22"/>
      <w:szCs w:val="22"/>
    </w:rPr>
  </w:style>
  <w:style w:type="character" w:styleId="char9" w:customStyle="1">
    <w:name w:val="Heading 9 Char"/>
    <w:basedOn w:val="char0"/>
    <w:rPr>
      <w:rFonts w:ascii="Arial" w:hAnsi="Arial" w:eastAsia="Arial" w:cs="Arial"/>
      <w:i/>
      <w:iCs/>
      <w:sz w:val="21"/>
      <w:szCs w:val="21"/>
    </w:rPr>
  </w:style>
  <w:style w:type="character" w:styleId="char10" w:customStyle="1">
    <w:name w:val="Title Char"/>
    <w:basedOn w:val="char0"/>
    <w:rPr>
      <w:sz w:val="48"/>
      <w:szCs w:val="48"/>
    </w:rPr>
  </w:style>
  <w:style w:type="character" w:styleId="char11" w:customStyle="1">
    <w:name w:val="Subtitle Char"/>
    <w:basedOn w:val="char0"/>
    <w:rPr>
      <w:sz w:val="24"/>
      <w:szCs w:val="24"/>
    </w:rPr>
  </w:style>
  <w:style w:type="character" w:styleId="char12" w:customStyle="1">
    <w:name w:val="Quote Char"/>
    <w:rPr>
      <w:i/>
    </w:rPr>
  </w:style>
  <w:style w:type="character" w:styleId="char13" w:customStyle="1">
    <w:name w:val="Intense Quote Char"/>
    <w:rPr>
      <w:i/>
    </w:rPr>
  </w:style>
  <w:style w:type="character" w:styleId="char14" w:customStyle="1">
    <w:name w:val="Caption Char"/>
  </w:style>
  <w:style w:type="character" w:styleId="char15">
    <w:name w:val="Hyperlink"/>
    <w:rPr>
      <w:color w:val="0563c1"/>
      <w:u w:color="auto" w:val="single"/>
    </w:rPr>
  </w:style>
  <w:style w:type="character" w:styleId="char16" w:customStyle="1">
    <w:name w:val="Footnote Text Char"/>
    <w:rPr>
      <w:sz w:val="18"/>
    </w:rPr>
  </w:style>
  <w:style w:type="character" w:styleId="char17" w:customStyle="1">
    <w:name w:val="Footnote Characters"/>
    <w:rPr>
      <w:vertAlign w:val="superscript"/>
    </w:rPr>
  </w:style>
  <w:style w:type="character" w:styleId="char18" w:customStyle="1">
    <w:name w:val="Footnote Anchor"/>
    <w:rPr>
      <w:vertAlign w:val="superscript"/>
    </w:rPr>
  </w:style>
  <w:style w:type="character" w:styleId="char19" w:customStyle="1">
    <w:name w:val="Endnote Text Char"/>
    <w:rPr>
      <w:sz w:val="20"/>
    </w:rPr>
  </w:style>
  <w:style w:type="character" w:styleId="char20" w:customStyle="1">
    <w:name w:val="Endnote Characters"/>
    <w:rPr>
      <w:vertAlign w:val="superscript"/>
    </w:rPr>
  </w:style>
  <w:style w:type="character" w:styleId="char21" w:customStyle="1">
    <w:name w:val="Endnote Anchor"/>
    <w:rPr>
      <w:vertAlign w:val="superscript"/>
    </w:rPr>
  </w:style>
  <w:style w:type="character" w:styleId="char22" w:customStyle="1">
    <w:name w:val="Header Char"/>
    <w:rPr>
      <w:sz w:val="22"/>
      <w:szCs w:val="22"/>
    </w:rPr>
  </w:style>
  <w:style w:type="character" w:styleId="char23" w:customStyle="1">
    <w:name w:val="Footer Char"/>
    <w:rPr>
      <w:sz w:val="22"/>
      <w:szCs w:val="22"/>
    </w:rPr>
  </w:style>
  <w:style w:type="character" w:styleId="char24" w:customStyle="1">
    <w:name w:val="Balloon Text Char"/>
    <w:rPr>
      <w:rFonts w:ascii="Segoe UI" w:hAnsi="Segoe UI" w:cs="Segoe UI"/>
      <w:sz w:val="18"/>
      <w:szCs w:val="18"/>
      <w:lang w:val="en-us" w:eastAsia="en-us"/>
    </w:rPr>
  </w:style>
  <w:style w:type="character" w:styleId="char25" w:customStyle="1">
    <w:name w:val="annotation reference"/>
    <w:basedOn w:val="char0"/>
    <w:rPr>
      <w:sz w:val="16"/>
      <w:szCs w:val="16"/>
    </w:rPr>
  </w:style>
  <w:style w:type="character" w:styleId="char26" w:customStyle="1">
    <w:name w:val="Pripomba – besedilo Znak"/>
    <w:basedOn w:val="char0"/>
    <w:rPr>
      <w:lang w:val="en-us" w:eastAsia="en-us"/>
    </w:rPr>
  </w:style>
  <w:style w:type="character" w:styleId="char27" w:customStyle="1">
    <w:name w:val="Zadeva pripombe Znak"/>
    <w:basedOn w:val="char26"/>
    <w:rPr>
      <w:b/>
      <w:bCs/>
      <w:lang w:val="en-us" w:eastAsia="en-us"/>
    </w:rPr>
  </w:style>
  <w:style w:type="character" w:styleId="char28" w:customStyle="1">
    <w:name w:val="Line Numbering"/>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Calibri" w:hAnsi="Calibri" w:eastAsia="Calibri" w:cs="Times New Roman"/>
        <w:sz w:val="20"/>
        <w:szCs w:val="20"/>
        <w:lang w:val="sl-si" w:eastAsia="sl-si" w:bidi="ar-sa"/>
      </w:rPr>
    </w:rPrDefault>
    <w:pPrDefault>
      <w:pPr>
        <w:spacing w:after="200" w:line="276" w:lineRule="auto"/>
        <w:suppressAutoHyphens/>
        <w:hyphenationLines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kern w:val="1"/>
      <w:sz w:val="22"/>
      <w:szCs w:val="22"/>
      <w:lang w:val="en-us" w:eastAsia="en-us"/>
    </w:rPr>
  </w:style>
  <w:style w:type="paragraph" w:styleId="para1">
    <w:name w:val="heading 1"/>
    <w:qFormat/>
    <w:basedOn w:val="para0"/>
    <w:pPr>
      <w:spacing w:before="480"/>
      <w:keepNext/>
      <w:outlineLvl w:val="0"/>
      <w:keepLines/>
    </w:pPr>
    <w:rPr>
      <w:rFonts w:ascii="Arial" w:hAnsi="Arial" w:eastAsia="Arial" w:cs="Arial"/>
      <w:sz w:val="40"/>
      <w:szCs w:val="40"/>
    </w:rPr>
  </w:style>
  <w:style w:type="paragraph" w:styleId="para2">
    <w:name w:val="heading 2"/>
    <w:qFormat/>
    <w:basedOn w:val="para0"/>
    <w:pPr>
      <w:spacing w:before="360"/>
      <w:keepNext/>
      <w:outlineLvl w:val="1"/>
      <w:keepLines/>
    </w:pPr>
    <w:rPr>
      <w:rFonts w:ascii="Arial" w:hAnsi="Arial" w:eastAsia="Arial" w:cs="Arial"/>
      <w:sz w:val="34"/>
    </w:rPr>
  </w:style>
  <w:style w:type="paragraph" w:styleId="para3">
    <w:name w:val="heading 3"/>
    <w:qFormat/>
    <w:basedOn w:val="para0"/>
    <w:pPr>
      <w:spacing w:before="320"/>
      <w:keepNext/>
      <w:outlineLvl w:val="2"/>
      <w:keepLines/>
    </w:pPr>
    <w:rPr>
      <w:rFonts w:ascii="Arial" w:hAnsi="Arial" w:eastAsia="Arial" w:cs="Arial"/>
      <w:sz w:val="30"/>
      <w:szCs w:val="30"/>
    </w:rPr>
  </w:style>
  <w:style w:type="paragraph" w:styleId="para4">
    <w:name w:val="heading 4"/>
    <w:qFormat/>
    <w:basedOn w:val="para0"/>
    <w:pPr>
      <w:spacing w:before="320"/>
      <w:keepNext/>
      <w:outlineLvl w:val="3"/>
      <w:keepLines/>
    </w:pPr>
    <w:rPr>
      <w:rFonts w:ascii="Arial" w:hAnsi="Arial" w:eastAsia="Arial" w:cs="Arial"/>
      <w:b/>
      <w:bCs/>
      <w:sz w:val="26"/>
      <w:szCs w:val="26"/>
    </w:rPr>
  </w:style>
  <w:style w:type="paragraph" w:styleId="para5">
    <w:name w:val="heading 5"/>
    <w:qFormat/>
    <w:basedOn w:val="para0"/>
    <w:pPr>
      <w:spacing w:before="320"/>
      <w:keepNext/>
      <w:outlineLvl w:val="4"/>
      <w:keepLines/>
    </w:pPr>
    <w:rPr>
      <w:rFonts w:ascii="Arial" w:hAnsi="Arial" w:eastAsia="Arial" w:cs="Arial"/>
      <w:b/>
      <w:bCs/>
      <w:sz w:val="24"/>
      <w:szCs w:val="24"/>
    </w:rPr>
  </w:style>
  <w:style w:type="paragraph" w:styleId="para6">
    <w:name w:val="heading 6"/>
    <w:qFormat/>
    <w:basedOn w:val="para0"/>
    <w:pPr>
      <w:spacing w:before="320"/>
      <w:keepNext/>
      <w:outlineLvl w:val="5"/>
      <w:keepLines/>
    </w:pPr>
    <w:rPr>
      <w:rFonts w:ascii="Arial" w:hAnsi="Arial" w:eastAsia="Arial" w:cs="Arial"/>
      <w:b/>
      <w:bCs/>
    </w:rPr>
  </w:style>
  <w:style w:type="paragraph" w:styleId="para7">
    <w:name w:val="heading 7"/>
    <w:qFormat/>
    <w:basedOn w:val="para0"/>
    <w:pPr>
      <w:spacing w:before="320"/>
      <w:keepNext/>
      <w:outlineLvl w:val="6"/>
      <w:keepLines/>
    </w:pPr>
    <w:rPr>
      <w:rFonts w:ascii="Arial" w:hAnsi="Arial" w:eastAsia="Arial" w:cs="Arial"/>
      <w:b/>
      <w:bCs/>
      <w:i/>
      <w:iCs/>
    </w:rPr>
  </w:style>
  <w:style w:type="paragraph" w:styleId="para8">
    <w:name w:val="heading 8"/>
    <w:qFormat/>
    <w:basedOn w:val="para0"/>
    <w:pPr>
      <w:spacing w:before="320"/>
      <w:keepNext/>
      <w:outlineLvl w:val="7"/>
      <w:keepLines/>
    </w:pPr>
    <w:rPr>
      <w:rFonts w:ascii="Arial" w:hAnsi="Arial" w:eastAsia="Arial" w:cs="Arial"/>
      <w:i/>
      <w:iCs/>
    </w:rPr>
  </w:style>
  <w:style w:type="paragraph" w:styleId="para9">
    <w:name w:val="heading 9"/>
    <w:qFormat/>
    <w:basedOn w:val="para0"/>
    <w:pPr>
      <w:spacing w:before="320"/>
      <w:keepNext/>
      <w:outlineLvl w:val="8"/>
      <w:keepLines/>
    </w:pPr>
    <w:rPr>
      <w:rFonts w:ascii="Arial" w:hAnsi="Arial" w:eastAsia="Arial" w:cs="Arial"/>
      <w:i/>
      <w:iCs/>
      <w:sz w:val="21"/>
      <w:szCs w:val="21"/>
    </w:rPr>
  </w:style>
  <w:style w:type="paragraph" w:styleId="para10" w:customStyle="1">
    <w:name w:val="Heading"/>
    <w:qFormat/>
    <w:basedOn w:val="para0"/>
    <w:next w:val="para11"/>
    <w:pPr>
      <w:spacing w:before="240" w:after="120"/>
      <w:keepNext/>
    </w:pPr>
    <w:rPr>
      <w:rFonts w:ascii="Liberation Sans" w:hAnsi="Liberation Sans" w:eastAsia="Noto Sans CJK SC" w:cs="FreeSans"/>
      <w:sz w:val="28"/>
      <w:szCs w:val="28"/>
    </w:rPr>
  </w:style>
  <w:style w:type="paragraph" w:styleId="para11">
    <w:name w:val="Body Text"/>
    <w:qFormat/>
    <w:basedOn w:val="para0"/>
    <w:pPr>
      <w:spacing w:after="140"/>
    </w:pPr>
  </w:style>
  <w:style w:type="paragraph" w:styleId="para12">
    <w:name w:val="List"/>
    <w:qFormat/>
    <w:basedOn w:val="para11"/>
    <w:rPr>
      <w:rFonts w:cs="FreeSans"/>
    </w:rPr>
  </w:style>
  <w:style w:type="paragraph" w:styleId="para13">
    <w:name w:val="caption"/>
    <w:qFormat/>
    <w:basedOn w:val="para0"/>
    <w:pPr>
      <w:spacing w:before="120" w:after="120"/>
      <w:suppressLineNumbers/>
    </w:pPr>
    <w:rPr>
      <w:rFonts w:cs="Lohit Devanagari"/>
      <w:i/>
      <w:iCs/>
      <w:sz w:val="24"/>
      <w:szCs w:val="24"/>
    </w:rPr>
  </w:style>
  <w:style w:type="paragraph" w:styleId="para14" w:customStyle="1">
    <w:name w:val="Index"/>
    <w:qFormat/>
    <w:basedOn w:val="para0"/>
    <w:pPr>
      <w:suppressLineNumbers/>
    </w:pPr>
    <w:rPr>
      <w:rFonts w:cs="FreeSans"/>
    </w:rPr>
  </w:style>
  <w:style w:type="paragraph" w:styleId="para15" w:customStyle="1">
    <w:name w:val="caption"/>
    <w:qFormat/>
    <w:basedOn w:val="para0"/>
    <w:rPr>
      <w:b/>
      <w:bCs/>
      <w:color w:val="5b9bd5"/>
      <w:sz w:val="18"/>
      <w:szCs w:val="18"/>
    </w:rPr>
  </w:style>
  <w:style w:type="paragraph" w:styleId="para16">
    <w:name w:val="No Spacing"/>
    <w:qFormat/>
    <w:pPr>
      <w:spacing w:after="0" w:line="240" w:lineRule="auto"/>
    </w:pPr>
    <w:rPr>
      <w:rFonts w:ascii="Calibri" w:hAnsi="Calibri" w:eastAsia="Calibri" w:cs="Times New Roman"/>
      <w:kern w:val="1"/>
      <w:lang w:val="sl-si" w:eastAsia="sl-si" w:bidi="ar-sa"/>
    </w:rPr>
  </w:style>
  <w:style w:type="paragraph" w:styleId="para17">
    <w:name w:val="Title"/>
    <w:qFormat/>
    <w:basedOn w:val="para0"/>
    <w:pPr>
      <w:spacing w:before="300"/>
      <w:contextualSpacing/>
    </w:pPr>
    <w:rPr>
      <w:sz w:val="48"/>
      <w:szCs w:val="48"/>
    </w:rPr>
  </w:style>
  <w:style w:type="paragraph" w:styleId="para18">
    <w:name w:val="Subtitle"/>
    <w:qFormat/>
    <w:basedOn w:val="para0"/>
    <w:pPr>
      <w:spacing w:before="200"/>
    </w:pPr>
    <w:rPr>
      <w:sz w:val="24"/>
      <w:szCs w:val="24"/>
    </w:rPr>
  </w:style>
  <w:style w:type="paragraph" w:styleId="para19">
    <w:name w:val="Quote"/>
    <w:qFormat/>
    <w:basedOn w:val="para0"/>
    <w:pPr>
      <w:ind w:left="720" w:right="720"/>
    </w:pPr>
    <w:rPr>
      <w:i/>
    </w:rPr>
  </w:style>
  <w:style w:type="paragraph" w:styleId="para20">
    <w:name w:val="Intense Quote"/>
    <w:qFormat/>
    <w:basedOn w:val="para0"/>
    <w:pPr>
      <w:ind w:left="720" w:right="720"/>
      <w:spacing w:after="0"/>
      <w:pBdr>
        <w:top w:val="single" w:sz="4" w:space="5" w:color="FFFFFF" tmln="10, 20, 20, 0, 100"/>
        <w:left w:val="single" w:sz="4" w:space="10" w:color="FFFFFF" tmln="10, 20, 20, 0, 200"/>
        <w:bottom w:val="single" w:sz="4" w:space="5" w:color="FFFFFF" tmln="10, 20, 20, 0, 100"/>
        <w:right w:val="single" w:sz="4" w:space="10" w:color="FFFFFF" tmln="10, 20, 20, 0, 200"/>
        <w:between w:val="nil" w:sz="0" w:space="0" w:color="000000" tmln="20, 20, 20, 0, 0"/>
      </w:pBdr>
      <w:shd w:val="solid" w:color="F2F2F2" tmshd="1677721856, 0, 15921906"/>
    </w:pPr>
    <w:rPr>
      <w:i/>
    </w:rPr>
  </w:style>
  <w:style w:type="paragraph" w:styleId="para21">
    <w:name w:val="Footnote Text"/>
    <w:qFormat/>
    <w:basedOn w:val="para0"/>
    <w:pPr>
      <w:spacing w:after="40" w:line="240" w:lineRule="auto"/>
    </w:pPr>
    <w:rPr>
      <w:sz w:val="18"/>
    </w:rPr>
  </w:style>
  <w:style w:type="paragraph" w:styleId="para22">
    <w:name w:val="Endnote Text"/>
    <w:qFormat/>
    <w:basedOn w:val="para0"/>
    <w:pPr>
      <w:spacing w:after="0" w:line="240" w:lineRule="auto"/>
    </w:pPr>
    <w:rPr>
      <w:sz w:val="20"/>
    </w:rPr>
  </w:style>
  <w:style w:type="paragraph" w:styleId="para23">
    <w:name w:val="toc 1"/>
    <w:qFormat/>
    <w:basedOn w:val="para0"/>
    <w:pPr>
      <w:spacing w:after="57"/>
    </w:pPr>
  </w:style>
  <w:style w:type="paragraph" w:styleId="para24">
    <w:name w:val="toc 2"/>
    <w:qFormat/>
    <w:basedOn w:val="para0"/>
    <w:pPr>
      <w:ind w:left="283"/>
      <w:spacing w:after="57"/>
    </w:pPr>
  </w:style>
  <w:style w:type="paragraph" w:styleId="para25">
    <w:name w:val="toc 3"/>
    <w:qFormat/>
    <w:basedOn w:val="para0"/>
    <w:pPr>
      <w:ind w:left="567"/>
      <w:spacing w:after="57"/>
    </w:pPr>
  </w:style>
  <w:style w:type="paragraph" w:styleId="para26">
    <w:name w:val="toc 4"/>
    <w:qFormat/>
    <w:basedOn w:val="para0"/>
    <w:pPr>
      <w:ind w:left="850"/>
      <w:spacing w:after="57"/>
    </w:pPr>
  </w:style>
  <w:style w:type="paragraph" w:styleId="para27">
    <w:name w:val="toc 5"/>
    <w:qFormat/>
    <w:basedOn w:val="para0"/>
    <w:pPr>
      <w:ind w:left="1134"/>
      <w:spacing w:after="57"/>
    </w:pPr>
  </w:style>
  <w:style w:type="paragraph" w:styleId="para28">
    <w:name w:val="toc 6"/>
    <w:qFormat/>
    <w:basedOn w:val="para0"/>
    <w:pPr>
      <w:ind w:left="1417"/>
      <w:spacing w:after="57"/>
    </w:pPr>
  </w:style>
  <w:style w:type="paragraph" w:styleId="para29">
    <w:name w:val="toc 7"/>
    <w:qFormat/>
    <w:basedOn w:val="para0"/>
    <w:pPr>
      <w:ind w:left="1701"/>
      <w:spacing w:after="57"/>
    </w:pPr>
  </w:style>
  <w:style w:type="paragraph" w:styleId="para30">
    <w:name w:val="toc 8"/>
    <w:qFormat/>
    <w:basedOn w:val="para0"/>
    <w:pPr>
      <w:ind w:left="1984"/>
      <w:spacing w:after="57"/>
    </w:pPr>
  </w:style>
  <w:style w:type="paragraph" w:styleId="para31">
    <w:name w:val="toc 9"/>
    <w:qFormat/>
    <w:basedOn w:val="para0"/>
    <w:pPr>
      <w:ind w:left="2268"/>
      <w:spacing w:after="57"/>
    </w:pPr>
  </w:style>
  <w:style w:type="paragraph" w:styleId="para32">
    <w:name w:val="TOC Heading"/>
    <w:qFormat/>
    <w:pPr>
      <w:spacing w:after="0" w:line="240" w:lineRule="auto"/>
    </w:pPr>
    <w:rPr>
      <w:rFonts w:ascii="Calibri" w:hAnsi="Calibri" w:eastAsia="Calibri" w:cs="Times New Roman"/>
      <w:kern w:val="1"/>
      <w:lang w:val="sl-si" w:eastAsia="sl-si" w:bidi="ar-sa"/>
    </w:rPr>
  </w:style>
  <w:style w:type="paragraph" w:styleId="para33">
    <w:name w:val="Table of Figures"/>
    <w:qFormat/>
    <w:basedOn w:val="para0"/>
    <w:pPr>
      <w:spacing w:after="0"/>
    </w:pPr>
  </w:style>
  <w:style w:type="paragraph" w:styleId="para34" w:customStyle="1">
    <w:name w:val="Header and Footer"/>
    <w:qFormat/>
    <w:basedOn w:val="para0"/>
  </w:style>
  <w:style w:type="paragraph" w:styleId="para35">
    <w:name w:val="Header"/>
    <w:qFormat/>
    <w:basedOn w:val="para0"/>
    <w:pPr>
      <w:tabs defTabSz="720">
        <w:tab w:val="center" w:pos="4680" w:leader="none"/>
        <w:tab w:val="right" w:pos="9360" w:leader="none"/>
      </w:tabs>
    </w:pPr>
  </w:style>
  <w:style w:type="paragraph" w:styleId="para36">
    <w:name w:val="Footer"/>
    <w:qFormat/>
    <w:basedOn w:val="para0"/>
    <w:pPr>
      <w:tabs defTabSz="720">
        <w:tab w:val="center" w:pos="4680" w:leader="none"/>
        <w:tab w:val="right" w:pos="9360" w:leader="none"/>
      </w:tabs>
    </w:pPr>
  </w:style>
  <w:style w:type="paragraph" w:styleId="para37">
    <w:name w:val="Balloon Text"/>
    <w:qFormat/>
    <w:basedOn w:val="para0"/>
    <w:pPr>
      <w:spacing w:after="0" w:line="240" w:lineRule="auto"/>
    </w:pPr>
    <w:rPr>
      <w:rFonts w:ascii="Segoe UI" w:hAnsi="Segoe UI" w:cs="Segoe UI"/>
      <w:sz w:val="18"/>
      <w:szCs w:val="18"/>
    </w:rPr>
  </w:style>
  <w:style w:type="paragraph" w:styleId="para38">
    <w:name w:val="List Paragraph"/>
    <w:qFormat/>
    <w:basedOn w:val="para0"/>
    <w:pPr>
      <w:ind w:left="720"/>
      <w:contextualSpacing/>
    </w:pPr>
  </w:style>
  <w:style w:type="paragraph" w:styleId="para39" w:customStyle="1">
    <w:name w:val="Table Contents"/>
    <w:qFormat/>
    <w:basedOn w:val="para0"/>
    <w:pPr>
      <w:suppressLineNumbers/>
      <w:widowControl w:val="0"/>
    </w:pPr>
  </w:style>
  <w:style w:type="paragraph" w:styleId="para40" w:customStyle="1">
    <w:name w:val="Table Heading"/>
    <w:qFormat/>
    <w:basedOn w:val="para39"/>
    <w:pPr>
      <w:spacing/>
      <w:jc w:val="center"/>
    </w:pPr>
    <w:rPr>
      <w:b/>
      <w:bCs/>
    </w:rPr>
  </w:style>
  <w:style w:type="paragraph" w:styleId="para41" w:customStyle="1">
    <w:name w:val="annotation text"/>
    <w:qFormat/>
    <w:basedOn w:val="para0"/>
    <w:pPr>
      <w:spacing w:line="240" w:lineRule="auto"/>
    </w:pPr>
    <w:rPr>
      <w:sz w:val="20"/>
      <w:szCs w:val="20"/>
    </w:rPr>
  </w:style>
  <w:style w:type="paragraph" w:styleId="para42" w:customStyle="1">
    <w:name w:val="annotation subject"/>
    <w:qFormat/>
    <w:basedOn w:val="para41"/>
    <w:next w:val="para41"/>
    <w:rPr>
      <w:b/>
      <w:bCs/>
    </w:rPr>
  </w:style>
  <w:style w:type="paragraph" w:styleId="para43" w:customStyle="1">
    <w:name w:val="Quotations"/>
    <w:qFormat/>
    <w:basedOn w:val="para0"/>
    <w:pPr>
      <w:ind w:left="567" w:right="567"/>
      <w:spacing w:after="283"/>
    </w:pPr>
  </w:style>
  <w:style w:type="character" w:styleId="char0" w:default="1">
    <w:name w:val="Default Paragraph Font"/>
  </w:style>
  <w:style w:type="character" w:styleId="char1" w:customStyle="1">
    <w:name w:val="Heading 1 Char"/>
    <w:basedOn w:val="char0"/>
    <w:rPr>
      <w:rFonts w:ascii="Arial" w:hAnsi="Arial" w:eastAsia="Arial" w:cs="Arial"/>
      <w:sz w:val="40"/>
      <w:szCs w:val="40"/>
    </w:rPr>
  </w:style>
  <w:style w:type="character" w:styleId="char2" w:customStyle="1">
    <w:name w:val="Heading 2 Char"/>
    <w:basedOn w:val="char0"/>
    <w:rPr>
      <w:rFonts w:ascii="Arial" w:hAnsi="Arial" w:eastAsia="Arial" w:cs="Arial"/>
      <w:sz w:val="34"/>
    </w:rPr>
  </w:style>
  <w:style w:type="character" w:styleId="char3" w:customStyle="1">
    <w:name w:val="Heading 3 Char"/>
    <w:basedOn w:val="char0"/>
    <w:rPr>
      <w:rFonts w:ascii="Arial" w:hAnsi="Arial" w:eastAsia="Arial" w:cs="Arial"/>
      <w:sz w:val="30"/>
      <w:szCs w:val="30"/>
    </w:rPr>
  </w:style>
  <w:style w:type="character" w:styleId="char4" w:customStyle="1">
    <w:name w:val="Heading 4 Char"/>
    <w:basedOn w:val="char0"/>
    <w:rPr>
      <w:rFonts w:ascii="Arial" w:hAnsi="Arial" w:eastAsia="Arial" w:cs="Arial"/>
      <w:b/>
      <w:bCs/>
      <w:sz w:val="26"/>
      <w:szCs w:val="26"/>
    </w:rPr>
  </w:style>
  <w:style w:type="character" w:styleId="char5" w:customStyle="1">
    <w:name w:val="Heading 5 Char"/>
    <w:basedOn w:val="char0"/>
    <w:rPr>
      <w:rFonts w:ascii="Arial" w:hAnsi="Arial" w:eastAsia="Arial" w:cs="Arial"/>
      <w:b/>
      <w:bCs/>
      <w:sz w:val="24"/>
      <w:szCs w:val="24"/>
    </w:rPr>
  </w:style>
  <w:style w:type="character" w:styleId="char6" w:customStyle="1">
    <w:name w:val="Heading 6 Char"/>
    <w:basedOn w:val="char0"/>
    <w:rPr>
      <w:rFonts w:ascii="Arial" w:hAnsi="Arial" w:eastAsia="Arial" w:cs="Arial"/>
      <w:b/>
      <w:bCs/>
      <w:sz w:val="22"/>
      <w:szCs w:val="22"/>
    </w:rPr>
  </w:style>
  <w:style w:type="character" w:styleId="char7" w:customStyle="1">
    <w:name w:val="Heading 7 Char"/>
    <w:basedOn w:val="char0"/>
    <w:rPr>
      <w:rFonts w:ascii="Arial" w:hAnsi="Arial" w:eastAsia="Arial" w:cs="Arial"/>
      <w:b/>
      <w:bCs/>
      <w:i/>
      <w:iCs/>
      <w:sz w:val="22"/>
      <w:szCs w:val="22"/>
    </w:rPr>
  </w:style>
  <w:style w:type="character" w:styleId="char8" w:customStyle="1">
    <w:name w:val="Heading 8 Char"/>
    <w:basedOn w:val="char0"/>
    <w:rPr>
      <w:rFonts w:ascii="Arial" w:hAnsi="Arial" w:eastAsia="Arial" w:cs="Arial"/>
      <w:i/>
      <w:iCs/>
      <w:sz w:val="22"/>
      <w:szCs w:val="22"/>
    </w:rPr>
  </w:style>
  <w:style w:type="character" w:styleId="char9" w:customStyle="1">
    <w:name w:val="Heading 9 Char"/>
    <w:basedOn w:val="char0"/>
    <w:rPr>
      <w:rFonts w:ascii="Arial" w:hAnsi="Arial" w:eastAsia="Arial" w:cs="Arial"/>
      <w:i/>
      <w:iCs/>
      <w:sz w:val="21"/>
      <w:szCs w:val="21"/>
    </w:rPr>
  </w:style>
  <w:style w:type="character" w:styleId="char10" w:customStyle="1">
    <w:name w:val="Title Char"/>
    <w:basedOn w:val="char0"/>
    <w:rPr>
      <w:sz w:val="48"/>
      <w:szCs w:val="48"/>
    </w:rPr>
  </w:style>
  <w:style w:type="character" w:styleId="char11" w:customStyle="1">
    <w:name w:val="Subtitle Char"/>
    <w:basedOn w:val="char0"/>
    <w:rPr>
      <w:sz w:val="24"/>
      <w:szCs w:val="24"/>
    </w:rPr>
  </w:style>
  <w:style w:type="character" w:styleId="char12" w:customStyle="1">
    <w:name w:val="Quote Char"/>
    <w:rPr>
      <w:i/>
    </w:rPr>
  </w:style>
  <w:style w:type="character" w:styleId="char13" w:customStyle="1">
    <w:name w:val="Intense Quote Char"/>
    <w:rPr>
      <w:i/>
    </w:rPr>
  </w:style>
  <w:style w:type="character" w:styleId="char14" w:customStyle="1">
    <w:name w:val="Caption Char"/>
  </w:style>
  <w:style w:type="character" w:styleId="char15">
    <w:name w:val="Hyperlink"/>
    <w:rPr>
      <w:color w:val="0563c1"/>
      <w:u w:color="auto" w:val="single"/>
    </w:rPr>
  </w:style>
  <w:style w:type="character" w:styleId="char16" w:customStyle="1">
    <w:name w:val="Footnote Text Char"/>
    <w:rPr>
      <w:sz w:val="18"/>
    </w:rPr>
  </w:style>
  <w:style w:type="character" w:styleId="char17" w:customStyle="1">
    <w:name w:val="Footnote Characters"/>
    <w:rPr>
      <w:vertAlign w:val="superscript"/>
    </w:rPr>
  </w:style>
  <w:style w:type="character" w:styleId="char18" w:customStyle="1">
    <w:name w:val="Footnote Anchor"/>
    <w:rPr>
      <w:vertAlign w:val="superscript"/>
    </w:rPr>
  </w:style>
  <w:style w:type="character" w:styleId="char19" w:customStyle="1">
    <w:name w:val="Endnote Text Char"/>
    <w:rPr>
      <w:sz w:val="20"/>
    </w:rPr>
  </w:style>
  <w:style w:type="character" w:styleId="char20" w:customStyle="1">
    <w:name w:val="Endnote Characters"/>
    <w:rPr>
      <w:vertAlign w:val="superscript"/>
    </w:rPr>
  </w:style>
  <w:style w:type="character" w:styleId="char21" w:customStyle="1">
    <w:name w:val="Endnote Anchor"/>
    <w:rPr>
      <w:vertAlign w:val="superscript"/>
    </w:rPr>
  </w:style>
  <w:style w:type="character" w:styleId="char22" w:customStyle="1">
    <w:name w:val="Header Char"/>
    <w:rPr>
      <w:sz w:val="22"/>
      <w:szCs w:val="22"/>
    </w:rPr>
  </w:style>
  <w:style w:type="character" w:styleId="char23" w:customStyle="1">
    <w:name w:val="Footer Char"/>
    <w:rPr>
      <w:sz w:val="22"/>
      <w:szCs w:val="22"/>
    </w:rPr>
  </w:style>
  <w:style w:type="character" w:styleId="char24" w:customStyle="1">
    <w:name w:val="Balloon Text Char"/>
    <w:rPr>
      <w:rFonts w:ascii="Segoe UI" w:hAnsi="Segoe UI" w:cs="Segoe UI"/>
      <w:sz w:val="18"/>
      <w:szCs w:val="18"/>
      <w:lang w:val="en-us" w:eastAsia="en-us"/>
    </w:rPr>
  </w:style>
  <w:style w:type="character" w:styleId="char25" w:customStyle="1">
    <w:name w:val="annotation reference"/>
    <w:basedOn w:val="char0"/>
    <w:rPr>
      <w:sz w:val="16"/>
      <w:szCs w:val="16"/>
    </w:rPr>
  </w:style>
  <w:style w:type="character" w:styleId="char26" w:customStyle="1">
    <w:name w:val="Pripomba – besedilo Znak"/>
    <w:basedOn w:val="char0"/>
    <w:rPr>
      <w:lang w:val="en-us" w:eastAsia="en-us"/>
    </w:rPr>
  </w:style>
  <w:style w:type="character" w:styleId="char27" w:customStyle="1">
    <w:name w:val="Zadeva pripombe Znak"/>
    <w:basedOn w:val="char26"/>
    <w:rPr>
      <w:b/>
      <w:bCs/>
      <w:lang w:val="en-us" w:eastAsia="en-us"/>
    </w:rPr>
  </w:style>
  <w:style w:type="character" w:styleId="char28" w:customStyle="1">
    <w:name w:val="Line Numbering"/>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rev.1036</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LNX</cp:lastModifiedBy>
  <cp:revision>33</cp:revision>
  <dcterms:created xsi:type="dcterms:W3CDTF">2021-08-30T08:53:00Z</dcterms:created>
  <dcterms:modified xsi:type="dcterms:W3CDTF">2022-01-18T10:56:49Z</dcterms:modified>
</cp:coreProperties>
</file>