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07581" w14:textId="77777777" w:rsidR="00681EA5" w:rsidRPr="00CC03A2" w:rsidRDefault="00681EA5" w:rsidP="00681EA5">
      <w:pPr>
        <w:pStyle w:val="Heading2"/>
        <w:numPr>
          <w:ilvl w:val="0"/>
          <w:numId w:val="0"/>
        </w:numPr>
      </w:pPr>
      <w:bookmarkStart w:id="0" w:name="_Hlk22301813"/>
      <w:bookmarkStart w:id="1" w:name="_Toc60256424"/>
      <w:bookmarkStart w:id="2" w:name="_Toc66751485"/>
      <w:r w:rsidRPr="00CC03A2">
        <w:t>Vzorec Načrta izstopa</w:t>
      </w:r>
      <w:bookmarkEnd w:id="0"/>
      <w:bookmarkEnd w:id="1"/>
      <w:bookmarkEnd w:id="2"/>
    </w:p>
    <w:p w14:paraId="69D8C37B" w14:textId="77777777" w:rsidR="00681EA5" w:rsidRPr="00CC03A2" w:rsidRDefault="00681EA5" w:rsidP="00681EA5">
      <w:pPr>
        <w:numPr>
          <w:ilvl w:val="12"/>
          <w:numId w:val="2"/>
        </w:numPr>
        <w:tabs>
          <w:tab w:val="left" w:pos="3969"/>
        </w:tabs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sz w:val="18"/>
          <w:szCs w:val="18"/>
          <w:lang w:eastAsia="en-US"/>
        </w:rPr>
      </w:pPr>
    </w:p>
    <w:p w14:paraId="3BD03BFF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sz w:val="22"/>
          <w:lang w:eastAsia="en-US"/>
        </w:rPr>
      </w:pPr>
      <w:r w:rsidRPr="00CC03A2">
        <w:rPr>
          <w:rFonts w:ascii="Tahoma" w:eastAsia="Times New Roman" w:hAnsi="Tahoma" w:cs="Tahoma"/>
          <w:b/>
          <w:bCs/>
          <w:sz w:val="22"/>
          <w:lang w:eastAsia="en-US"/>
        </w:rPr>
        <w:t>NAČRT IZSTOPA</w:t>
      </w:r>
    </w:p>
    <w:p w14:paraId="3E9A7835" w14:textId="77777777" w:rsidR="00681EA5" w:rsidRPr="00CC03A2" w:rsidRDefault="00681EA5" w:rsidP="00681EA5">
      <w:pPr>
        <w:spacing w:before="0"/>
        <w:rPr>
          <w:rFonts w:ascii="Tahoma" w:eastAsia="Times New Roman" w:hAnsi="Tahoma" w:cs="Tahoma"/>
          <w:b/>
          <w:bCs/>
          <w:szCs w:val="20"/>
          <w:highlight w:val="yellow"/>
          <w:lang w:eastAsia="en-US"/>
        </w:rPr>
      </w:pPr>
      <w:r w:rsidRPr="00CC03A2">
        <w:rPr>
          <w:rFonts w:ascii="Tahoma" w:eastAsia="Times New Roman" w:hAnsi="Tahoma" w:cs="Tahoma"/>
          <w:b/>
          <w:bCs/>
          <w:szCs w:val="20"/>
          <w:lang w:eastAsia="en-US"/>
        </w:rPr>
        <w:t>SPLOŠNE DOLOČBE</w:t>
      </w:r>
    </w:p>
    <w:p w14:paraId="47026989" w14:textId="77777777" w:rsidR="00681EA5" w:rsidRPr="00CC03A2" w:rsidRDefault="00681EA5" w:rsidP="00681EA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člen</w:t>
      </w:r>
    </w:p>
    <w:p w14:paraId="42979645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(Vsebina načrta izstopa)</w:t>
      </w:r>
    </w:p>
    <w:p w14:paraId="4C6CA550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szCs w:val="20"/>
          <w:highlight w:val="yellow"/>
          <w:lang w:eastAsia="en-US"/>
        </w:rPr>
      </w:pPr>
    </w:p>
    <w:p w14:paraId="7F0EDC81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Načrt izstopa se uporablja v primeru zunanjega izvajanja, kjer je banka sklenila dogovoru oddaje v zunanje izvajanje s tretjo osebo in ta dogovor izpolnjuje pogoje za zunanje izvajanje in hkrati je funkcija oddana v zunanje izvajanje opredeljena kot funkcija odločilnega pomena ali pomembna.</w:t>
      </w:r>
    </w:p>
    <w:p w14:paraId="782E3706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2001CC41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Načrt izstopa pripravi predlagatelj naročila zunanjega izvajanja z namenom, da bi v primeru izstopa iz dogovora le-ta tekel brez večjih motenj; čim bolj tekoče. Načrt je potrebno, da je celovit,</w:t>
      </w:r>
      <w:r w:rsidRPr="00CC03A2">
        <w:rPr>
          <w:rFonts w:ascii="Tahoma" w:eastAsia="Times New Roman" w:hAnsi="Tahoma" w:cs="Tahoma"/>
          <w:szCs w:val="20"/>
          <w:lang w:eastAsia="en-US"/>
        </w:rPr>
        <w:t xml:space="preserve"> 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 xml:space="preserve">dokumentiran in po potrebi ustrezno preizkušen (npr. z analizo potencialnih stroškov, učinkov, virov in časovnih posledic prenosa storitve, oddane v zunanje izvajanje, na nadomestnega ponudnika). </w:t>
      </w:r>
    </w:p>
    <w:p w14:paraId="0005A2D3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/>
          <w:bCs/>
          <w:szCs w:val="20"/>
          <w:lang w:eastAsia="en-US"/>
        </w:rPr>
      </w:pPr>
    </w:p>
    <w:p w14:paraId="73441785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bCs/>
          <w:szCs w:val="20"/>
          <w:lang w:eastAsia="en-US"/>
        </w:rPr>
        <w:t>NAČRT IZSTOPA</w:t>
      </w:r>
    </w:p>
    <w:p w14:paraId="1647433B" w14:textId="77777777" w:rsidR="00681EA5" w:rsidRPr="00CC03A2" w:rsidRDefault="00681EA5" w:rsidP="00681EA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člen</w:t>
      </w:r>
    </w:p>
    <w:p w14:paraId="46EADDB7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(Sestava ekipe za izstop)</w:t>
      </w:r>
    </w:p>
    <w:p w14:paraId="3B48808F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</w:p>
    <w:p w14:paraId="6778C7F0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Sestava ekipe za izstop mora biti sestavljena iz strokovnjakov, ki opravljajo zunanje izvajanja in mora biti prilagojena organizacijama, ki predstavljata funkcijo banke oddano v zunanje izvajanje in ponudnika zunanjega izvajanja.</w:t>
      </w:r>
    </w:p>
    <w:p w14:paraId="1F9B21CC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1D6C6042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V ekipi za izstop bodo sodelovali:</w:t>
      </w:r>
    </w:p>
    <w:p w14:paraId="61B592F3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szCs w:val="20"/>
          <w:lang w:eastAsia="en-US"/>
        </w:rPr>
      </w:pPr>
    </w:p>
    <w:p w14:paraId="0DD35F5A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skrbnik dogovora oddaje v zunanje izvajanje, ki je odgovoren za sestavo in vodenje ekipe za izstop (vodja ekipe za izstop);</w:t>
      </w:r>
    </w:p>
    <w:p w14:paraId="00FDC8D4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predstavnik Oddelka za upravljanje tveganj, za katerega je odgovoren direktor Oddelka za upravljanje tveganj;</w:t>
      </w:r>
    </w:p>
    <w:p w14:paraId="230E2B48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predstavnik banke zadolžen za __________________________, za katerega je odgovoren direktor__________________ (predstavnik banke v ekipi za izstop);</w:t>
      </w:r>
    </w:p>
    <w:p w14:paraId="719F40D2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predstavnik banke zadolžen za __________________________, za katerega je odgovoren direktor__________________ (član ekipe banke v ekipi za izstop);</w:t>
      </w:r>
    </w:p>
    <w:p w14:paraId="0586B190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predstavnik banke zadolžen za __________________________, za katerega je odgovoren direktor__________________ (član ekipe banke v ekipi za izstop);</w:t>
      </w:r>
    </w:p>
    <w:p w14:paraId="1B56A786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predstavnik zunanjega izvajalca zadolžen za ____________________, za katerega je pri zunanjem izvajalcu odgovoren _________________________________ (predstavnik zunanjega izvajalca v ekipi za izstop);</w:t>
      </w:r>
    </w:p>
    <w:p w14:paraId="66657AB9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predstavnik zunanjega izvajalca zadolžen za ____________________, za katerega je pri zunanjem izvajalcu odgovoren _________________________________ (član ekipe zunanjega izvajalca v ekipi za izstop);</w:t>
      </w:r>
    </w:p>
    <w:p w14:paraId="5E21EA24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-</w:t>
      </w:r>
      <w:r w:rsidRPr="00CC03A2">
        <w:rPr>
          <w:rFonts w:ascii="Tahoma" w:eastAsia="Times New Roman" w:hAnsi="Tahoma" w:cs="Tahoma"/>
          <w:bCs/>
          <w:szCs w:val="20"/>
          <w:lang w:eastAsia="en-US"/>
        </w:rPr>
        <w:tab/>
        <w:t>predstavnik zunanjega izvajalca zadolžen za ____________________, za katerega je pri zunanjem izvajalcu odgovoren _________________________________ (član ekipe zunanjega izvajalca v ekipi za izstop);</w:t>
      </w:r>
    </w:p>
    <w:p w14:paraId="5620463C" w14:textId="77777777" w:rsidR="00681EA5" w:rsidRPr="00CC03A2" w:rsidRDefault="00681EA5" w:rsidP="00681EA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člen</w:t>
      </w:r>
    </w:p>
    <w:p w14:paraId="2F335FDD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(Proces izstopa)</w:t>
      </w:r>
    </w:p>
    <w:p w14:paraId="60F1629F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27615697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Načrt izstopa je namenjen uporabi, v kolikor bi bilo potrebno prenesti oddano funkcijo iz zunanjega izvajalca na banko, ali na drugega zunanjega izvajalca. Do pričetka procesa izvajalca privedejo izpolnjeni pogoji, ki so navedeni v pogodbi z zunanjim izvajalcem (lahko tudi v dogovoru o ravni kakovosti funkcije).</w:t>
      </w:r>
    </w:p>
    <w:p w14:paraId="5C4396C0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27FB30EC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 xml:space="preserve">V času procesa izstopa, je za izvajanje funkcije predvideno, da se izvaja nemoteno s strani zunanjega izvajalca. </w:t>
      </w:r>
    </w:p>
    <w:p w14:paraId="6A909A29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4876FB39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Kot del načrta izstopa je zunanji izvajalec dolžan v načrtu prehoda:</w:t>
      </w:r>
    </w:p>
    <w:p w14:paraId="17909BDE" w14:textId="77777777" w:rsidR="00681EA5" w:rsidRPr="00CC03A2" w:rsidRDefault="00681EA5" w:rsidP="00681EA5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lastRenderedPageBreak/>
        <w:t>Pripraviti celovit prenos tehnične in funkcijske dokumentacije, ki se nanaša na zunanje izvajanje;</w:t>
      </w:r>
    </w:p>
    <w:p w14:paraId="21B8452E" w14:textId="77777777" w:rsidR="00681EA5" w:rsidRPr="00CC03A2" w:rsidRDefault="00681EA5" w:rsidP="00681EA5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Prenos podatkov, ki se nanašajo na zunanje izvajanje;</w:t>
      </w:r>
    </w:p>
    <w:p w14:paraId="3542ABA9" w14:textId="77777777" w:rsidR="00681EA5" w:rsidRPr="00CC03A2" w:rsidRDefault="00681EA5" w:rsidP="00681EA5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Dostaviti banki vso dokumentacijo, ki je za banko ključna, da zagotovi nemoteno izvajanje funkcije.</w:t>
      </w:r>
    </w:p>
    <w:p w14:paraId="59C043D7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V procesu izstopa je potrebno, da se spoštuje skladnost z bančno regulativo, kjer se posebej izpostavlja varstvo podatkov, informacijsko varnost.</w:t>
      </w:r>
    </w:p>
    <w:p w14:paraId="3FF779F4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140E603B" w14:textId="77777777" w:rsidR="00681EA5" w:rsidRPr="00CC03A2" w:rsidRDefault="00681EA5" w:rsidP="00681EA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člen</w:t>
      </w:r>
    </w:p>
    <w:p w14:paraId="068E8211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(Proces po izstopu)</w:t>
      </w:r>
    </w:p>
    <w:p w14:paraId="2420765B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0C695309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Zunanji izvajalec je dolžan med, in po izvajanju zunanjega izvajanja, spoštovati dogovorjene standarde pri opravljanju funkcije.</w:t>
      </w:r>
    </w:p>
    <w:p w14:paraId="3FA328CE" w14:textId="77777777" w:rsidR="00681EA5" w:rsidRPr="00CC03A2" w:rsidRDefault="00681EA5" w:rsidP="00681EA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člen</w:t>
      </w:r>
    </w:p>
    <w:p w14:paraId="71614AF0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(Odgovornosti)</w:t>
      </w:r>
    </w:p>
    <w:p w14:paraId="3C84CCCD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4DB1B8CD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Vodja ekipe za izstop je dolžan:</w:t>
      </w:r>
    </w:p>
    <w:p w14:paraId="360B72A1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definirati čas trajanja izstopa iz dogovora;</w:t>
      </w:r>
    </w:p>
    <w:p w14:paraId="70396260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koordinacijo in realizacijo načrta izstopa.</w:t>
      </w:r>
    </w:p>
    <w:p w14:paraId="647FFF8C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1D7B95AC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Predstavnik ekipe zunanjega izvajalca v ekipi za izstop je dolžan:</w:t>
      </w:r>
    </w:p>
    <w:p w14:paraId="2929ABF8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definirati čas trajanja izstopa;</w:t>
      </w:r>
    </w:p>
    <w:p w14:paraId="3EB723AF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pripraviti vso dogovorjeno dokumentacijo;</w:t>
      </w:r>
    </w:p>
    <w:p w14:paraId="12E0BB35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redno poročanje vodji ekipe za izstop.</w:t>
      </w:r>
    </w:p>
    <w:p w14:paraId="527A906F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4303C44C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Predstavnik ekipe banke v ekipi za izstop je dolžan:</w:t>
      </w:r>
    </w:p>
    <w:p w14:paraId="028E6683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definirati čas trajanja izstopa;</w:t>
      </w:r>
    </w:p>
    <w:p w14:paraId="2BFF6D55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sprejeti vso dogovorjeno dokumentacijo;</w:t>
      </w:r>
    </w:p>
    <w:p w14:paraId="01122323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zagotoviti izvajanje funkcije v banki;</w:t>
      </w:r>
    </w:p>
    <w:p w14:paraId="2FDAA43F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redno poročanje vodji ekipe za izstop.</w:t>
      </w:r>
    </w:p>
    <w:p w14:paraId="71DBD702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19D45011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Predstavnika morata oddati časovnico za izstop najkasneje 5 delovnih dni po izpolnjenih pogojih za izstop iz dogovora oddaje v zunanje izvajanje. Vodja ekipe je dolžan časovnico uskladiti in jo 10 dni po izpolnjenih pogojih za izstop posredovati vsem vključenim v proces izstopa. V vsakem primeru je potrebno časovnico izstopa posredovati:</w:t>
      </w:r>
    </w:p>
    <w:p w14:paraId="01106071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upravi banke;</w:t>
      </w:r>
    </w:p>
    <w:p w14:paraId="6C506E5E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direktorju Oddelka za upravljanje tveganj;</w:t>
      </w:r>
    </w:p>
    <w:p w14:paraId="64A70981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direktorju Oddelka za skladnost;</w:t>
      </w:r>
    </w:p>
    <w:p w14:paraId="77247AE4" w14:textId="77777777" w:rsidR="00681EA5" w:rsidRPr="00CC03A2" w:rsidRDefault="00681EA5" w:rsidP="00681EA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before="0"/>
        <w:contextualSpacing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  <w:r w:rsidRPr="00CC03A2">
        <w:rPr>
          <w:rFonts w:ascii="Tahoma" w:eastAsia="Times New Roman" w:hAnsi="Tahoma" w:cs="Tahoma"/>
          <w:bCs/>
          <w:szCs w:val="20"/>
          <w:lang w:eastAsia="en-US"/>
        </w:rPr>
        <w:t>direktorju Oddelka notranje revizije.</w:t>
      </w:r>
    </w:p>
    <w:p w14:paraId="4D8B85A6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left"/>
        <w:textAlignment w:val="baseline"/>
        <w:rPr>
          <w:rFonts w:ascii="Tahoma" w:eastAsia="Times New Roman" w:hAnsi="Tahoma" w:cs="Tahoma"/>
          <w:bCs/>
          <w:szCs w:val="20"/>
          <w:lang w:eastAsia="en-US"/>
        </w:rPr>
      </w:pPr>
    </w:p>
    <w:p w14:paraId="7C92FEDA" w14:textId="77777777" w:rsidR="00681EA5" w:rsidRPr="00CC03A2" w:rsidRDefault="00681EA5" w:rsidP="00681EA5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szCs w:val="20"/>
          <w:lang w:eastAsia="en-US"/>
        </w:rPr>
      </w:pPr>
      <w:r w:rsidRPr="00CC03A2">
        <w:rPr>
          <w:rFonts w:ascii="Tahoma" w:eastAsia="Times New Roman" w:hAnsi="Tahoma" w:cs="Tahoma"/>
          <w:szCs w:val="20"/>
          <w:lang w:eastAsia="en-US"/>
        </w:rPr>
        <w:t>V primeru izstopa iz dogovora je za realizacijo načrta izstopa odgovoren skrbnik dogovora oddaje v zunanje izvajanje.</w:t>
      </w:r>
    </w:p>
    <w:p w14:paraId="2E47F153" w14:textId="77777777" w:rsidR="00681EA5" w:rsidRPr="00CC03A2" w:rsidRDefault="00681EA5" w:rsidP="00681EA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/>
        <w:contextualSpacing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člen</w:t>
      </w:r>
    </w:p>
    <w:p w14:paraId="1901C802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jc w:val="center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  <w:r w:rsidRPr="00CC03A2">
        <w:rPr>
          <w:rFonts w:ascii="Tahoma" w:eastAsia="Times New Roman" w:hAnsi="Tahoma" w:cs="Tahoma"/>
          <w:b/>
          <w:szCs w:val="20"/>
          <w:lang w:eastAsia="en-US"/>
        </w:rPr>
        <w:t>(Uveljavitev in prenehanje veljavnosti)</w:t>
      </w:r>
    </w:p>
    <w:p w14:paraId="7462B9CF" w14:textId="77777777" w:rsidR="00681EA5" w:rsidRPr="00CC03A2" w:rsidRDefault="00681EA5" w:rsidP="00681EA5">
      <w:pPr>
        <w:overflowPunct w:val="0"/>
        <w:autoSpaceDE w:val="0"/>
        <w:autoSpaceDN w:val="0"/>
        <w:adjustRightInd w:val="0"/>
        <w:spacing w:before="0"/>
        <w:ind w:left="360"/>
        <w:contextualSpacing/>
        <w:jc w:val="left"/>
        <w:textAlignment w:val="baseline"/>
        <w:rPr>
          <w:rFonts w:ascii="Tahoma" w:eastAsia="Times New Roman" w:hAnsi="Tahoma" w:cs="Tahoma"/>
          <w:b/>
          <w:szCs w:val="20"/>
          <w:lang w:eastAsia="en-US"/>
        </w:rPr>
      </w:pPr>
    </w:p>
    <w:p w14:paraId="0A7F262D" w14:textId="77777777" w:rsidR="00681EA5" w:rsidRPr="00CC03A2" w:rsidRDefault="00681EA5" w:rsidP="00681EA5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szCs w:val="20"/>
          <w:lang w:eastAsia="en-US"/>
        </w:rPr>
      </w:pPr>
      <w:r w:rsidRPr="00CC03A2">
        <w:rPr>
          <w:rFonts w:ascii="Tahoma" w:eastAsia="Times New Roman" w:hAnsi="Tahoma" w:cs="Tahoma"/>
          <w:szCs w:val="20"/>
          <w:lang w:eastAsia="en-US"/>
        </w:rPr>
        <w:t>Ta načrt izstopa velja, od dne, ko ga podpišejo vsi odgovorni in je bil tako potrjen s strani skrbnika oddaje v zunanje izvajanje, odgovornega direktorja in direktorja za upravljanje tveganj. Načrt mora podpisati zunanji izvajalec, razen če so sestavni deli načrta pokriti v pogodbi z zunanjim izvajalcem.</w:t>
      </w:r>
    </w:p>
    <w:p w14:paraId="4AE83615" w14:textId="77777777" w:rsidR="00681EA5" w:rsidRPr="00CC03A2" w:rsidRDefault="00681EA5" w:rsidP="00681EA5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szCs w:val="20"/>
          <w:lang w:eastAsia="en-US"/>
        </w:rPr>
      </w:pPr>
    </w:p>
    <w:p w14:paraId="496FA423" w14:textId="77777777" w:rsidR="00681EA5" w:rsidRPr="00CC03A2" w:rsidRDefault="00681EA5" w:rsidP="00681EA5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before="0"/>
        <w:textAlignment w:val="baseline"/>
        <w:rPr>
          <w:rFonts w:ascii="Tahoma" w:eastAsia="Times New Roman" w:hAnsi="Tahoma" w:cs="Tahoma"/>
          <w:szCs w:val="20"/>
          <w:lang w:eastAsia="en-US"/>
        </w:rPr>
      </w:pPr>
    </w:p>
    <w:tbl>
      <w:tblPr>
        <w:tblStyle w:val="GridTable1Light"/>
        <w:tblW w:w="9067" w:type="dxa"/>
        <w:tblLook w:val="04A0" w:firstRow="1" w:lastRow="0" w:firstColumn="1" w:lastColumn="0" w:noHBand="0" w:noVBand="1"/>
      </w:tblPr>
      <w:tblGrid>
        <w:gridCol w:w="4815"/>
        <w:gridCol w:w="1843"/>
        <w:gridCol w:w="2409"/>
      </w:tblGrid>
      <w:tr w:rsidR="00681EA5" w:rsidRPr="00CC03A2" w14:paraId="75BA0581" w14:textId="77777777" w:rsidTr="00F901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5AF8AAC1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rPr>
                <w:rFonts w:ascii="Tahoma" w:hAnsi="Tahoma" w:cs="Tahoma"/>
                <w:lang w:eastAsia="en-US"/>
              </w:rPr>
            </w:pPr>
            <w:r w:rsidRPr="00CC03A2">
              <w:rPr>
                <w:rFonts w:ascii="Tahoma" w:hAnsi="Tahoma" w:cs="Tahoma"/>
                <w:lang w:eastAsia="en-US"/>
              </w:rPr>
              <w:t>Ime</w:t>
            </w:r>
          </w:p>
        </w:tc>
        <w:tc>
          <w:tcPr>
            <w:tcW w:w="1843" w:type="dxa"/>
          </w:tcPr>
          <w:p w14:paraId="10BB985D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  <w:r w:rsidRPr="00CC03A2">
              <w:rPr>
                <w:rFonts w:ascii="Tahoma" w:hAnsi="Tahoma" w:cs="Tahoma"/>
                <w:lang w:eastAsia="en-US"/>
              </w:rPr>
              <w:t>Datum</w:t>
            </w:r>
          </w:p>
        </w:tc>
        <w:tc>
          <w:tcPr>
            <w:tcW w:w="2409" w:type="dxa"/>
          </w:tcPr>
          <w:p w14:paraId="07D0F0FE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  <w:r w:rsidRPr="00CC03A2">
              <w:rPr>
                <w:rFonts w:ascii="Tahoma" w:hAnsi="Tahoma" w:cs="Tahoma"/>
                <w:lang w:eastAsia="en-US"/>
              </w:rPr>
              <w:t>Podpis</w:t>
            </w:r>
          </w:p>
        </w:tc>
      </w:tr>
      <w:tr w:rsidR="00681EA5" w:rsidRPr="00CC03A2" w14:paraId="77673AA8" w14:textId="77777777" w:rsidTr="00F9010F">
        <w:trPr>
          <w:trHeight w:val="7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7C721FC5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ahoma" w:hAnsi="Tahoma" w:cs="Tahoma"/>
                <w:lang w:eastAsia="en-US"/>
              </w:rPr>
            </w:pPr>
            <w:r w:rsidRPr="00CC03A2">
              <w:rPr>
                <w:rFonts w:ascii="Tahoma" w:hAnsi="Tahoma" w:cs="Tahoma"/>
                <w:lang w:eastAsia="en-US"/>
              </w:rPr>
              <w:t>Skrbnik ZI</w:t>
            </w:r>
          </w:p>
        </w:tc>
        <w:tc>
          <w:tcPr>
            <w:tcW w:w="1843" w:type="dxa"/>
          </w:tcPr>
          <w:p w14:paraId="4139B6C9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2409" w:type="dxa"/>
          </w:tcPr>
          <w:p w14:paraId="5E261E5A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</w:p>
        </w:tc>
      </w:tr>
      <w:tr w:rsidR="00681EA5" w:rsidRPr="00CC03A2" w14:paraId="1B293B37" w14:textId="77777777" w:rsidTr="00F9010F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4E4248AD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ahoma" w:hAnsi="Tahoma" w:cs="Tahoma"/>
                <w:lang w:eastAsia="en-US"/>
              </w:rPr>
            </w:pPr>
            <w:r w:rsidRPr="00CC03A2">
              <w:rPr>
                <w:rFonts w:ascii="Tahoma" w:hAnsi="Tahoma" w:cs="Tahoma"/>
                <w:lang w:eastAsia="en-US"/>
              </w:rPr>
              <w:t>Odgovorni direktor ZI</w:t>
            </w:r>
          </w:p>
        </w:tc>
        <w:tc>
          <w:tcPr>
            <w:tcW w:w="1843" w:type="dxa"/>
          </w:tcPr>
          <w:p w14:paraId="5FEAE23F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2409" w:type="dxa"/>
          </w:tcPr>
          <w:p w14:paraId="50F67D14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</w:p>
        </w:tc>
      </w:tr>
      <w:tr w:rsidR="00681EA5" w:rsidRPr="00CC03A2" w14:paraId="5DAEBDCB" w14:textId="77777777" w:rsidTr="00F9010F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17D16362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ahoma" w:hAnsi="Tahoma" w:cs="Tahoma"/>
                <w:lang w:eastAsia="en-US"/>
              </w:rPr>
            </w:pPr>
            <w:r w:rsidRPr="00CC03A2">
              <w:rPr>
                <w:rFonts w:ascii="Tahoma" w:hAnsi="Tahoma" w:cs="Tahoma"/>
                <w:lang w:eastAsia="en-US"/>
              </w:rPr>
              <w:lastRenderedPageBreak/>
              <w:t>Zunanji izvajalec</w:t>
            </w:r>
          </w:p>
        </w:tc>
        <w:tc>
          <w:tcPr>
            <w:tcW w:w="1843" w:type="dxa"/>
          </w:tcPr>
          <w:p w14:paraId="56DE5522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</w:p>
        </w:tc>
        <w:tc>
          <w:tcPr>
            <w:tcW w:w="2409" w:type="dxa"/>
          </w:tcPr>
          <w:p w14:paraId="2A74CB7A" w14:textId="77777777" w:rsidR="00681EA5" w:rsidRPr="00CC03A2" w:rsidRDefault="00681EA5" w:rsidP="00F9010F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spacing w:before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lang w:eastAsia="en-US"/>
              </w:rPr>
            </w:pPr>
          </w:p>
        </w:tc>
      </w:tr>
    </w:tbl>
    <w:p w14:paraId="13B3F09C" w14:textId="77777777" w:rsidR="00681EA5" w:rsidRPr="00CC03A2" w:rsidRDefault="00681EA5" w:rsidP="00681EA5">
      <w:pPr>
        <w:spacing w:before="0" w:after="200" w:line="276" w:lineRule="auto"/>
        <w:rPr>
          <w:rFonts w:ascii="Tahoma" w:hAnsi="Tahoma" w:cs="Tahoma"/>
        </w:rPr>
      </w:pPr>
    </w:p>
    <w:p w14:paraId="68601917" w14:textId="77777777" w:rsidR="003A6131" w:rsidRDefault="003A6131"/>
    <w:sectPr w:rsidR="003A6131" w:rsidSect="0080435E">
      <w:footnotePr>
        <w:numRestart w:val="eachSect"/>
      </w:footnotePr>
      <w:pgSz w:w="11906" w:h="16838"/>
      <w:pgMar w:top="1392" w:right="1417" w:bottom="993" w:left="1417" w:header="426" w:footer="545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315CB"/>
    <w:multiLevelType w:val="multilevel"/>
    <w:tmpl w:val="2FFE742E"/>
    <w:styleLink w:val="Naslovi-ostevilceni"/>
    <w:lvl w:ilvl="0">
      <w:start w:val="17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-priloge"/>
      <w:lvlText w:val="%1.%2."/>
      <w:lvlJc w:val="left"/>
      <w:pPr>
        <w:ind w:left="1277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4" w:hanging="1304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180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21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252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288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240"/>
      </w:pPr>
      <w:rPr>
        <w:rFonts w:hint="default"/>
      </w:rPr>
    </w:lvl>
  </w:abstractNum>
  <w:abstractNum w:abstractNumId="1" w15:restartNumberingAfterBreak="0">
    <w:nsid w:val="1AB242B0"/>
    <w:multiLevelType w:val="hybridMultilevel"/>
    <w:tmpl w:val="0BD2EE88"/>
    <w:lvl w:ilvl="0" w:tplc="73F4C44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E30B8"/>
    <w:multiLevelType w:val="multilevel"/>
    <w:tmpl w:val="2D2684A8"/>
    <w:lvl w:ilvl="0">
      <w:start w:val="1"/>
      <w:numFmt w:val="decimal"/>
      <w:lvlText w:val="%1"/>
      <w:lvlJc w:val="left"/>
      <w:pPr>
        <w:ind w:left="1000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576B7E"/>
    <w:multiLevelType w:val="hybridMultilevel"/>
    <w:tmpl w:val="434ABF0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A5"/>
    <w:rsid w:val="003A6131"/>
    <w:rsid w:val="0068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62B78"/>
  <w15:chartTrackingRefBased/>
  <w15:docId w15:val="{BC816C2E-534B-4F9F-84C5-4FEDD046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EA5"/>
    <w:pPr>
      <w:spacing w:before="200" w:after="0" w:line="240" w:lineRule="auto"/>
      <w:jc w:val="both"/>
    </w:pPr>
    <w:rPr>
      <w:rFonts w:ascii="Myriad Pro" w:eastAsia="Calibri" w:hAnsi="Myriad Pro" w:cs="Times New Roman"/>
      <w:sz w:val="20"/>
      <w:lang w:val="sl-SI" w:eastAsia="sl-SI"/>
    </w:rPr>
  </w:style>
  <w:style w:type="paragraph" w:styleId="Heading2">
    <w:name w:val="heading 2"/>
    <w:aliases w:val="-Naslov 2,Naslov 22,Vsebina ponudbe"/>
    <w:basedOn w:val="Normal"/>
    <w:next w:val="Normal"/>
    <w:link w:val="Heading2Char"/>
    <w:autoRedefine/>
    <w:uiPriority w:val="9"/>
    <w:unhideWhenUsed/>
    <w:qFormat/>
    <w:rsid w:val="00681EA5"/>
    <w:pPr>
      <w:keepNext/>
      <w:keepLines/>
      <w:numPr>
        <w:ilvl w:val="1"/>
        <w:numId w:val="1"/>
      </w:numPr>
      <w:tabs>
        <w:tab w:val="left" w:pos="709"/>
      </w:tabs>
      <w:spacing w:before="360" w:line="288" w:lineRule="auto"/>
      <w:jc w:val="left"/>
      <w:outlineLvl w:val="1"/>
    </w:pPr>
    <w:rPr>
      <w:rFonts w:ascii="Tahoma" w:eastAsia="Times New Roman" w:hAnsi="Tahoma"/>
      <w:b/>
      <w:bCs/>
      <w:sz w:val="26"/>
      <w:szCs w:val="26"/>
    </w:rPr>
  </w:style>
  <w:style w:type="paragraph" w:styleId="Heading3">
    <w:name w:val="heading 3"/>
    <w:aliases w:val="-Naslov 3,Naslov 3_Nova RD_MP"/>
    <w:basedOn w:val="Normal"/>
    <w:next w:val="Normal"/>
    <w:link w:val="Heading3Char"/>
    <w:uiPriority w:val="9"/>
    <w:unhideWhenUsed/>
    <w:qFormat/>
    <w:rsid w:val="00681EA5"/>
    <w:pPr>
      <w:numPr>
        <w:ilvl w:val="2"/>
        <w:numId w:val="1"/>
      </w:numPr>
      <w:outlineLvl w:val="2"/>
    </w:pPr>
    <w:rPr>
      <w:b/>
      <w:bCs/>
    </w:rPr>
  </w:style>
  <w:style w:type="paragraph" w:styleId="Heading4">
    <w:name w:val="heading 4"/>
    <w:aliases w:val="-Naslov 4"/>
    <w:basedOn w:val="Heading3"/>
    <w:next w:val="Normal"/>
    <w:link w:val="Heading4Char"/>
    <w:uiPriority w:val="99"/>
    <w:unhideWhenUsed/>
    <w:qFormat/>
    <w:rsid w:val="00681EA5"/>
    <w:pPr>
      <w:numPr>
        <w:ilvl w:val="3"/>
      </w:numPr>
      <w:outlineLvl w:val="3"/>
    </w:pPr>
    <w:rPr>
      <w:bCs w:val="0"/>
      <w:iCs/>
    </w:rPr>
  </w:style>
  <w:style w:type="paragraph" w:styleId="Heading5">
    <w:name w:val="heading 5"/>
    <w:aliases w:val="-Naslov 5"/>
    <w:basedOn w:val="Heading4"/>
    <w:next w:val="Normal"/>
    <w:link w:val="Heading5Char"/>
    <w:uiPriority w:val="9"/>
    <w:unhideWhenUsed/>
    <w:qFormat/>
    <w:rsid w:val="00681EA5"/>
    <w:pPr>
      <w:numPr>
        <w:ilvl w:val="4"/>
      </w:numPr>
      <w:outlineLvl w:val="4"/>
    </w:pPr>
  </w:style>
  <w:style w:type="paragraph" w:styleId="Heading6">
    <w:name w:val="heading 6"/>
    <w:aliases w:val="-Naslov 6"/>
    <w:basedOn w:val="Heading5"/>
    <w:next w:val="Normal"/>
    <w:link w:val="Heading6Char"/>
    <w:uiPriority w:val="9"/>
    <w:unhideWhenUsed/>
    <w:qFormat/>
    <w:rsid w:val="00681EA5"/>
    <w:pPr>
      <w:numPr>
        <w:ilvl w:val="5"/>
      </w:numPr>
      <w:outlineLvl w:val="5"/>
    </w:pPr>
    <w:rPr>
      <w:iCs w:val="0"/>
    </w:rPr>
  </w:style>
  <w:style w:type="paragraph" w:styleId="Heading7">
    <w:name w:val="heading 7"/>
    <w:aliases w:val="-Naslov 7"/>
    <w:basedOn w:val="Heading6"/>
    <w:next w:val="Normal"/>
    <w:link w:val="Heading7Char"/>
    <w:uiPriority w:val="9"/>
    <w:unhideWhenUsed/>
    <w:qFormat/>
    <w:rsid w:val="00681EA5"/>
    <w:pPr>
      <w:numPr>
        <w:ilvl w:val="6"/>
      </w:numPr>
      <w:outlineLvl w:val="6"/>
    </w:pPr>
    <w:rPr>
      <w:iCs/>
    </w:rPr>
  </w:style>
  <w:style w:type="paragraph" w:styleId="Heading8">
    <w:name w:val="heading 8"/>
    <w:aliases w:val="-Naslov 8"/>
    <w:basedOn w:val="Heading7"/>
    <w:next w:val="Normal"/>
    <w:link w:val="Heading8Char"/>
    <w:uiPriority w:val="9"/>
    <w:unhideWhenUsed/>
    <w:qFormat/>
    <w:rsid w:val="00681EA5"/>
    <w:pPr>
      <w:numPr>
        <w:ilvl w:val="7"/>
      </w:numPr>
      <w:outlineLvl w:val="7"/>
    </w:pPr>
    <w:rPr>
      <w:szCs w:val="20"/>
    </w:rPr>
  </w:style>
  <w:style w:type="paragraph" w:styleId="Heading9">
    <w:name w:val="heading 9"/>
    <w:aliases w:val="-Naslov 9"/>
    <w:basedOn w:val="Heading8"/>
    <w:next w:val="Normal"/>
    <w:link w:val="Heading9Char"/>
    <w:uiPriority w:val="9"/>
    <w:unhideWhenUsed/>
    <w:qFormat/>
    <w:rsid w:val="00681EA5"/>
    <w:pPr>
      <w:numPr>
        <w:ilvl w:val="8"/>
      </w:numPr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-Naslov 2 Char,Naslov 22 Char,Vsebina ponudbe Char"/>
    <w:basedOn w:val="DefaultParagraphFont"/>
    <w:link w:val="Heading2"/>
    <w:uiPriority w:val="9"/>
    <w:rsid w:val="00681EA5"/>
    <w:rPr>
      <w:rFonts w:ascii="Tahoma" w:eastAsia="Times New Roman" w:hAnsi="Tahoma" w:cs="Times New Roman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681EA5"/>
    <w:rPr>
      <w:rFonts w:ascii="Myriad Pro" w:eastAsia="Calibri" w:hAnsi="Myriad Pro" w:cs="Times New Roman"/>
      <w:b/>
      <w:bCs/>
      <w:sz w:val="20"/>
      <w:lang w:val="sl-SI" w:eastAsia="sl-SI"/>
    </w:rPr>
  </w:style>
  <w:style w:type="character" w:customStyle="1" w:styleId="Heading4Char">
    <w:name w:val="Heading 4 Char"/>
    <w:basedOn w:val="DefaultParagraphFont"/>
    <w:link w:val="Heading4"/>
    <w:uiPriority w:val="99"/>
    <w:rsid w:val="00681EA5"/>
    <w:rPr>
      <w:rFonts w:ascii="Myriad Pro" w:eastAsia="Calibri" w:hAnsi="Myriad Pro" w:cs="Times New Roman"/>
      <w:b/>
      <w:iCs/>
      <w:sz w:val="20"/>
      <w:lang w:val="sl-SI"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681EA5"/>
    <w:rPr>
      <w:rFonts w:ascii="Myriad Pro" w:eastAsia="Calibri" w:hAnsi="Myriad Pro" w:cs="Times New Roman"/>
      <w:b/>
      <w:iCs/>
      <w:sz w:val="20"/>
      <w:lang w:val="sl-SI"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681EA5"/>
    <w:rPr>
      <w:rFonts w:ascii="Myriad Pro" w:eastAsia="Calibri" w:hAnsi="Myriad Pro" w:cs="Times New Roman"/>
      <w:b/>
      <w:sz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681EA5"/>
    <w:rPr>
      <w:rFonts w:ascii="Myriad Pro" w:eastAsia="Calibri" w:hAnsi="Myriad Pro" w:cs="Times New Roman"/>
      <w:b/>
      <w:iCs/>
      <w:sz w:val="20"/>
      <w:lang w:val="sl-SI"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681EA5"/>
    <w:rPr>
      <w:rFonts w:ascii="Myriad Pro" w:eastAsia="Calibri" w:hAnsi="Myriad Pro" w:cs="Times New Roman"/>
      <w:b/>
      <w:iCs/>
      <w:sz w:val="20"/>
      <w:szCs w:val="20"/>
      <w:lang w:val="sl-SI" w:eastAsia="sl-SI"/>
    </w:rPr>
  </w:style>
  <w:style w:type="character" w:customStyle="1" w:styleId="Heading9Char">
    <w:name w:val="Heading 9 Char"/>
    <w:basedOn w:val="DefaultParagraphFont"/>
    <w:link w:val="Heading9"/>
    <w:uiPriority w:val="9"/>
    <w:rsid w:val="00681EA5"/>
    <w:rPr>
      <w:rFonts w:ascii="Myriad Pro" w:eastAsia="Calibri" w:hAnsi="Myriad Pro" w:cs="Times New Roman"/>
      <w:b/>
      <w:sz w:val="20"/>
      <w:szCs w:val="20"/>
      <w:lang w:val="sl-SI" w:eastAsia="sl-SI"/>
    </w:rPr>
  </w:style>
  <w:style w:type="paragraph" w:customStyle="1" w:styleId="Heading-priloge">
    <w:name w:val="Heading - priloge"/>
    <w:basedOn w:val="Heading2"/>
    <w:autoRedefine/>
    <w:qFormat/>
    <w:rsid w:val="00681EA5"/>
    <w:pPr>
      <w:pageBreakBefore/>
      <w:numPr>
        <w:numId w:val="2"/>
      </w:numPr>
      <w:tabs>
        <w:tab w:val="clear" w:pos="709"/>
        <w:tab w:val="left" w:pos="851"/>
      </w:tabs>
    </w:pPr>
    <w:rPr>
      <w:rFonts w:cs="Tahoma"/>
    </w:rPr>
  </w:style>
  <w:style w:type="numbering" w:customStyle="1" w:styleId="Naslovi-ostevilceni">
    <w:name w:val="Naslovi-ostevilceni"/>
    <w:uiPriority w:val="99"/>
    <w:rsid w:val="00681EA5"/>
    <w:pPr>
      <w:numPr>
        <w:numId w:val="2"/>
      </w:numPr>
    </w:pPr>
  </w:style>
  <w:style w:type="table" w:styleId="GridTable1Light">
    <w:name w:val="Grid Table 1 Light"/>
    <w:basedOn w:val="TableNormal"/>
    <w:uiPriority w:val="46"/>
    <w:rsid w:val="00681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l-SI" w:eastAsia="sl-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747</Words>
  <Characters>4261</Characters>
  <Application>Microsoft Office Word</Application>
  <DocSecurity>0</DocSecurity>
  <Lines>35</Lines>
  <Paragraphs>9</Paragraphs>
  <ScaleCrop>false</ScaleCrop>
  <Company>SID Banka d.d.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Ribero</dc:creator>
  <cp:keywords/>
  <dc:description/>
  <cp:lastModifiedBy>Sara Ribero</cp:lastModifiedBy>
  <cp:revision>1</cp:revision>
  <dcterms:created xsi:type="dcterms:W3CDTF">2021-03-25T13:38:00Z</dcterms:created>
  <dcterms:modified xsi:type="dcterms:W3CDTF">2021-03-25T13:38:00Z</dcterms:modified>
</cp:coreProperties>
</file>