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DDA" w:rsidRPr="00227DDA" w:rsidRDefault="00227DDA" w:rsidP="00227DDA">
      <w:pPr>
        <w:spacing w:after="0" w:line="260" w:lineRule="atLeast"/>
        <w:jc w:val="both"/>
        <w:rPr>
          <w:rFonts w:ascii="Arial" w:eastAsia="Calibri" w:hAnsi="Arial" w:cs="Arial"/>
          <w:b/>
        </w:rPr>
      </w:pPr>
      <w:r w:rsidRPr="00227DDA">
        <w:rPr>
          <w:rFonts w:ascii="Arial" w:eastAsia="Calibri" w:hAnsi="Arial" w:cs="Arial"/>
          <w:b/>
        </w:rPr>
        <w:t>Cena rednega letnega servisa mobilnega biološkega laboratorija:</w:t>
      </w:r>
    </w:p>
    <w:p w:rsidR="00227DDA" w:rsidRPr="00227DDA" w:rsidRDefault="00227DDA" w:rsidP="00227DDA">
      <w:pPr>
        <w:spacing w:after="0" w:line="260" w:lineRule="atLeast"/>
        <w:jc w:val="both"/>
        <w:rPr>
          <w:rFonts w:ascii="Arial" w:eastAsia="Calibri" w:hAnsi="Arial" w:cs="Arial"/>
          <w:b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567"/>
        <w:gridCol w:w="1021"/>
        <w:gridCol w:w="1276"/>
        <w:gridCol w:w="1276"/>
        <w:gridCol w:w="537"/>
        <w:gridCol w:w="1701"/>
        <w:gridCol w:w="1701"/>
        <w:gridCol w:w="1559"/>
      </w:tblGrid>
      <w:tr w:rsidR="00227DDA" w:rsidRPr="00227DDA" w:rsidTr="0087762A">
        <w:trPr>
          <w:cantSplit/>
          <w:trHeight w:hRule="exact" w:val="2034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Zap</w:t>
            </w:r>
            <w:proofErr w:type="spellEnd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št.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Predmet naročila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Normativ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Število 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Storitev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Cena</w:t>
            </w:r>
            <w:r w:rsidR="0087762A">
              <w:rPr>
                <w:rFonts w:ascii="Arial" w:eastAsia="Times New Roman" w:hAnsi="Arial" w:cs="Arial"/>
                <w:bCs/>
                <w:sz w:val="18"/>
                <w:szCs w:val="18"/>
              </w:rPr>
              <w:t>/EM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brez DDV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Material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Cena brez DDV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Ponudnik vpiše potreben material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brez DDV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 = (4 x 5 + 6) x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DDV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9 = 8 x 0,22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Vrednost z DDV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10 = 8 + 9</w:t>
            </w:r>
          </w:p>
        </w:tc>
      </w:tr>
      <w:tr w:rsidR="00227DDA" w:rsidRPr="00227DDA" w:rsidTr="0087762A">
        <w:trPr>
          <w:trHeight w:hRule="exact" w:val="27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27DDA">
              <w:rPr>
                <w:rFonts w:ascii="Arial" w:eastAsia="Times New Roman" w:hAnsi="Arial" w:cs="Arial"/>
                <w:bCs/>
                <w:sz w:val="16"/>
                <w:szCs w:val="16"/>
              </w:rPr>
              <w:t>10</w:t>
            </w:r>
          </w:p>
        </w:tc>
      </w:tr>
      <w:tr w:rsidR="00227DDA" w:rsidRPr="00227DDA" w:rsidTr="0087762A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27DDA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b/>
              </w:rPr>
            </w:pPr>
            <w:r w:rsidRPr="00227DDA">
              <w:rPr>
                <w:rFonts w:ascii="Arial" w:eastAsia="Times New Roman" w:hAnsi="Arial" w:cs="Arial"/>
                <w:b/>
              </w:rPr>
              <w:t>Zabojnik (</w:t>
            </w:r>
            <w:proofErr w:type="spellStart"/>
            <w:r w:rsidRPr="00227DDA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</w:rPr>
              <w:t>)</w:t>
            </w:r>
          </w:p>
        </w:tc>
      </w:tr>
      <w:tr w:rsidR="00227DDA" w:rsidRPr="00227DDA" w:rsidTr="0087762A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Osnovna konstrukcija zabojnika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pregled osnovne konstrukcije zabojnika in evidentiranje poškodb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Zunanjost zabojnika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na zunanjosti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zagona električnega generatorja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zunanjih vtičnic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preklopnega stikala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alarmiranja nevarnosti in kontaminacije</w:t>
            </w:r>
            <w:r w:rsidRPr="00227DDA">
              <w:rPr>
                <w:rFonts w:ascii="Calibri" w:eastAsia="Times New Roman" w:hAnsi="Calibri" w:cs="Times New Roman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4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Nadstrešek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 xml:space="preserve">b) Pregled delovanja plinskih vzmeti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c) Pregled delovanja zaklepov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4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Podest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b) Pregled odpiranja in zapiranja podpornih nosilcev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c) Pregled delovanja zapahov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227DDA" w:rsidRPr="00227DDA" w:rsidTr="0087762A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Vhodna vrata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 xml:space="preserve">a) Vizualni pregled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b Pregled odpiranja in zapiranja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 xml:space="preserve">c) Pregled odpiranja in zapiranja ter zaklepa </w:t>
            </w:r>
            <w:r w:rsidRPr="00227DD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malih izmetnih vrat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d) pregled zaslonke stekla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e) Pregled delovanja zaklepnega mehanizma vhodnih vrat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 xml:space="preserve">f) Pregled vijačnih spojev zaklepnega mehanizma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g) Pregled poškodovanosti tesnila vhodnih vrat (tesnilo je vgrajeno po obodu vrat)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h) Pregled poškodovanosti tesnila stekla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i) Pregled poškodovanosti tesnila malih vrat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j) menjava tesnil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Vrata za vnos vzorca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b) Pregled delovanja zaklepa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c) Pregled poškodovanosti tesnila vrat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Vrata strojnice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a) Pregled odpiranja in zapiranja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b) Pregled delovanja zaklepa na desnem krilu vrat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c) Pregled delovanja spodnjega in zgornjega zatiča na levem krilu vrat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d) Zamenjava vstopnih protiprašnih filtrov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Daljinska kontrolna enota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a) pregled delovanja kontrolnih lučk</w:t>
            </w:r>
          </w:p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b) pregled stanja napajalnega kabla, kontrolne enote in vseh električnih kontaktov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4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Hidravlični sistem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18"/>
                <w:szCs w:val="18"/>
              </w:rPr>
              <w:t>Cristanini</w:t>
            </w:r>
            <w:proofErr w:type="spellEnd"/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zagon hidravličnega agregata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dviganje zabojnika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spuščanje zabojnika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pregled tesnosti vodov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menjava olja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menjava sesalnega filtra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menjava povratnega filtra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menjava nalivnega filtra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pregled tesnosti ventilov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 xml:space="preserve">- kontrola delovanja upravljalnika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sz w:val="18"/>
                <w:szCs w:val="18"/>
              </w:rPr>
              <w:t>- mazanje zgloba na spodnjem delu hidravličnih  nog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27DDA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rPr>
                <w:rFonts w:ascii="Arial" w:eastAsia="Times New Roman" w:hAnsi="Arial" w:cs="Arial"/>
                <w:b/>
                <w:bCs/>
              </w:rPr>
            </w:pPr>
            <w:r w:rsidRPr="00227DDA">
              <w:rPr>
                <w:rFonts w:ascii="Arial" w:eastAsia="Times New Roman" w:hAnsi="Arial" w:cs="Arial"/>
                <w:b/>
              </w:rPr>
              <w:t>Strojnica (</w:t>
            </w:r>
            <w:proofErr w:type="spellStart"/>
            <w:r w:rsidRPr="00227DDA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</w:rPr>
              <w:t>)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strojnici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zagona električnega generatorja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osvetlitve strojnice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maskirne osvetlitve strojnice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klimatske naprave – zunanja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enota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- pregled delovanja tlačnega regulatorja vode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črpalke čiste vode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NRKB filtracije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hidravličnega sistema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grelcev na rezervoarju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grelnega kabla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Elektro omarice v strojnici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glavne varovalke in ostalih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varovalk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napajalnika 24 V DC</w:t>
            </w:r>
          </w:p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proti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zmrzovalnega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regulatorja rezervoarja </w:t>
            </w:r>
          </w:p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proti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zmrzovalnega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regulatorja cevovoda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Opomba: Za vse elektroinštalacije v mobilnem biološkem laboratoriju je potrebno izvesti test ustreznosti in izdati poročilo!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Električni generator (Motor) LOMBARDINI, model: FOCS LDW 1503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olja v motorju, tlačilki in regulatorju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menjava olja v omenjenih sklopih najmanj enkrat letno ali po določenem št. opravljenih ur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menjava oljnih filtrov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in nastavitev zračnosti ventilov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kontrola in nastavitev vbrizgalnih šob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menjava filtra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preizkus manometrov in termometrov ter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hladilnika motorja</w:t>
            </w:r>
          </w:p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napetosti in nastavitev klinastih jermenov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podmazovanje ležajev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dovoda in odvoda zraka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zaganjalnika motorja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cevovoda napajanja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dodatnega rezervoarja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zagon motorja in preizkus delovanja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preizkus zaščit motorja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in nastavitev el. regulatorja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alternatorja motorja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kvalitete hladilne tekočine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izpušnega sistema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kontrola akumulatorja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Generator in električna oprema LOMBARDINI, model: FOCS LDW 1503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kontrola komandno stikalne omare agregata</w:t>
            </w:r>
          </w:p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seta avtomatike agregata, napetostnih, časovnih, bimetalnih in drugih relejev v komandni omari agregata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kontrola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kontaktorja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mreže in generatorja, merilnih inštrumentov in spojnih mest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polnilca akumulatorja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in preizkus žaluzij za zrak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elektrolita v akumulatorjih in priključnih mestih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kontrola generatorja, regulatorja napetosti, vzbujalnega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trafoja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rotorja in statorja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preizkus zaščit  generatorja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preizkus agregata v ročnem in avtomatskem obratovanju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ogrevanja motorja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nastavitev avtomatike agregata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Rezervoarji za gorivo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rezervoarja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čiščenje dotoka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tesnila tri-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clamp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spojke na cevi za dotok goriva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priklopa gibljivih dovodnih cevi goriva električnega agregata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kontrola delovanja plovca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vijačnih spojev pritrditve rezervoarja na 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Kompresor FINI, model: E.C. ATTACK OIL 102, tip: 23050 RRU EU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vzdrževalna dela na sistemu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oz. menjava filtra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PREDPROSTOR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3.1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predprostor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osvetlitve predprostora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delovanja UV liči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zasilne osvetlitve predprostora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dna predprostora pod rešetkami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3.2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Sušilec rok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sušilca rok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3.3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Grelnik vode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grelnika vode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izrabljenosti zaščitne anode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po potrebi čiščenje vodnega kamna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</w:rPr>
              <w:t>Notranjost zabojnika (</w:t>
            </w:r>
            <w:proofErr w:type="spellStart"/>
            <w:r w:rsidRPr="00227DDA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</w:rPr>
              <w:t>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4.1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Vmesna vrata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zaklepnega mehanizma vmesnih vrat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vijačnih spojev zaklepnega mehanizma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poškodovanosti tesnila vmesnih vrat 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poškodovanosti tesnila stekla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</w:rPr>
            </w:pPr>
            <w:r w:rsidRPr="00227DDA">
              <w:rPr>
                <w:rFonts w:ascii="Arial" w:eastAsia="Times New Roman" w:hAnsi="Arial" w:cs="Arial"/>
                <w:b/>
              </w:rPr>
              <w:t>Sistem vodovodnih inštalacij (</w:t>
            </w:r>
            <w:proofErr w:type="spellStart"/>
            <w:r w:rsidRPr="00227DDA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</w:rPr>
              <w:t>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Sistem dovoda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polnjenje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praznjenje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umivalnika na pultu in tuša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dekontaminacijske pištole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grelnika vode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črpalke vode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reduktorja tlaka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testiranje delovanja zaščite proti zmrzovanju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rezervoarja čiste vode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čiščenje filtra na dovodu in na odzračevanju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vijačnih spojev pritrditve rezervoarja na 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Sistem odvoda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polnjenje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praznjenje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rezervoarja odpadne vode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tesnosti vodov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čiščenje filtra na odzračevanju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vijačnih spojev pritrditve rezervoarja na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nosilce zabojnika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Električno napajanje in osvetlitev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vseh električnih vodnikov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pritrditev vseh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uvodnic</w:t>
            </w:r>
            <w:proofErr w:type="spellEnd"/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pritrditev električnih vodnikov na vrstne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sponke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Sistem nadtlačnega prezračevanja in NRKB filtracije (BETH-EL-ZAIKHRON YAAQOV, model: FA 230/150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vizualno preverjanje celotnega sistema zaradi morebitnih poškodb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zagon NBC filtracijskega sistema v ventilatorskem načinu in preverjanje </w:t>
            </w: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morebitnih nenavadnih zvokov pri delovanju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zagon NBC filtracijskega sistema v filtracijskem načinu (v primeru, da kazalec prikazuje rdeče območje, je potrebna zamenjava NBC filtra)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čistosti in čiščenje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, zamenjava tesnila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NBC filtra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poškodovanosti tesnil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vseh povezav (kablov)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funkcionalnosti zapahov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funkcionalnosti  krožnih spojk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ventilatorske enote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sistema za pravilno delovanje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menjava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predfiltra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na zračnem kanalu 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laboratoriju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čiščenje površin zračnega kanala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kontrolnih lučk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stanja napajalnega kabla, kontrolne enote 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vseh električnih kontaktov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na vmesnih vratih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- pregled in čiščenje tesnilnega roba</w:t>
            </w:r>
          </w:p>
          <w:p w:rsidR="00227DDA" w:rsidRPr="00227DDA" w:rsidRDefault="00227DDA" w:rsidP="00227DDA">
            <w:pPr>
              <w:tabs>
                <w:tab w:val="left" w:pos="375"/>
              </w:tabs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čiščenje zračenega toka od ventila do izhoda</w:t>
            </w:r>
          </w:p>
          <w:p w:rsidR="00227DDA" w:rsidRPr="00227DDA" w:rsidRDefault="00227DDA" w:rsidP="00227DDA">
            <w:pPr>
              <w:tabs>
                <w:tab w:val="left" w:pos="375"/>
              </w:tabs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iztrošenosti filtra in menjava po potrebi (obvezno na 2 leti)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v predprostoru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in čiščenje tesnilnega roba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in čiščenje zračnega toka od ventila do izhoda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iztrošenosti filtra in menjava po potrebi (obvezno na 2 leti)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5.7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Preverjanje in čiščenje nadtlačnega ventila na odvodu digestorija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vizualno preverjanje ustreznosti ventila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gibanja zapiralnega diska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in čiščenje tesnilnega roba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in čiščenje zračnega toka od ventila do izhoda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iztrošenosti filtra in menjava po potrebi (obvezno na 2 leti)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</w:rPr>
            </w:pPr>
            <w:r w:rsidRPr="00227DDA">
              <w:rPr>
                <w:rFonts w:ascii="Arial" w:eastAsia="Times New Roman" w:hAnsi="Arial" w:cs="Arial"/>
                <w:b/>
              </w:rPr>
              <w:t>Laboratorij (</w:t>
            </w:r>
            <w:proofErr w:type="spellStart"/>
            <w:r w:rsidRPr="00227DDA">
              <w:rPr>
                <w:rFonts w:ascii="Arial" w:eastAsia="Times New Roman" w:hAnsi="Arial" w:cs="Arial"/>
                <w:b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</w:rPr>
              <w:t>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</w:rPr>
            </w:pP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6.1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laboratoriju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IT omarice z ločilnim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 transformatorjem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UPS-a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vtičnic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klimatske naprave – notranja enota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delovanje kontrolne enote NRKB filtracije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osvetlitve laboratorija in UV luči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 zasilne osvetlitve laboratorija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Glavna elektro omara v laboratoriju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pregled delovanja glavnega stikala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varovalk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Opomba: Za vse elektroinštalacije je potrebno izvesti test ustreznosti in izdati poročilo.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tabs>
                <w:tab w:val="left" w:pos="1685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Delovni pulti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Cristanini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zaklepov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vodenja vodil predalov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vodil za električne vodnike na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  zadnjem delu predalov za opremo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poškodovanosti nosilcev analitske opreme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Klimatski sistem </w:t>
            </w:r>
            <w:r w:rsidR="00220672" w:rsidRPr="00085B88">
              <w:rPr>
                <w:b/>
                <w:szCs w:val="20"/>
                <w:lang w:eastAsia="sl-SI"/>
              </w:rPr>
              <w:t>MITSUBISHI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model: </w:t>
            </w:r>
            <w:r w:rsidR="00220672" w:rsidRPr="00085B88">
              <w:rPr>
                <w:b/>
                <w:szCs w:val="20"/>
                <w:lang w:eastAsia="sl-SI"/>
              </w:rPr>
              <w:t>KJ35VE2/MUFZ-KJ35VEHZ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preventivni servisni pregled klimatskega sistema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testiranje delovanja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menjava zračnega filtra klimatske naprave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čiščenje klimatske naprave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Validacija prostora v laboratoriju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- merjenje vrednosti nadtlaka v laboratoriju glede na tlak okolice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- merjenje vrednosti nadtlaka v laboratoriju glede na tlak predprostora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- merjenje čistosti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validacijsko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GPS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Garmin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, model: 16-HVS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 in kalibracija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Meteorološka postaja Davis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Vantage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PRO 2 TM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testiranje in umerjanje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- kalibracija merilne postaje in sond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menjava baterij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UPS (POWERWARE, model: 9155-8-0)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vklop in preverjanje delovanja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testiranje in po potrebi menjava baterij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Detektor O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2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Drager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PAC 7000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kalibracija detektorja plina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menjava baterije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Detektor CO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sl-SI"/>
              </w:rPr>
              <w:t>2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Drager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PAC 7000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kalibracija detektorja plina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menjava baterije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servisno poročilo in kalibracijski certifikat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Postaja za čiščenje oči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preventivni pregled in čiščenje posode s tekočino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MAB (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bio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alarm monitor detektor)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6.13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Hladilnik/ zamrzovalnik (APPARECCHI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Scioentific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S.R.L., model: RF 360CX)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Izolator ISKRA PIO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227DDA" w:rsidRPr="00227DDA" w:rsidTr="0087762A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7.1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Elektro omara nad izolatorjem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- preverjanje delovanja glavnega stikala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varovalk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preverjanje delovanja ventilatorja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delovanja luči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  zaslona na dotik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7.2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Oprema vgrajena v izolator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delovanja vtičnic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iztrošenosti UV luči in menjava po potrebi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sistema za dekontaminacijo H</w:t>
            </w:r>
            <w:r w:rsidRPr="00227DDA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</w:t>
            </w:r>
            <w:r w:rsidRPr="00227DDA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7.3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Validacija izolatorja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</w:rPr>
              <w:t xml:space="preserve">- </w:t>
            </w: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meritev podtlaka v izolatorju glede na laboratorij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meritve nadtlaka v laboratoriju glede na okolico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testiranje tesnosti HEPA vstopnega filtra v izolatorju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testiranje tesnosti HEPA izstopnega filtra v izolatorju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test integritete absolutnega filtra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kalibracijski certifikat,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validacijsko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poročilo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menjava </w:t>
            </w:r>
            <w:proofErr w:type="spellStart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>ogljenega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 filtra</w:t>
            </w:r>
            <w:r w:rsidRPr="00227DDA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227DDA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menjava HEPA filtra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4"/>
              </w:rPr>
              <w:t>Analitska oprema</w:t>
            </w: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227DDA" w:rsidRPr="00227DDA" w:rsidTr="0087762A">
        <w:trPr>
          <w:trHeight w:val="14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0672" w:rsidRDefault="00220672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85B88">
              <w:rPr>
                <w:b/>
                <w:szCs w:val="20"/>
                <w:lang w:eastAsia="sl-SI"/>
              </w:rPr>
              <w:t>MIC QPCR CYCLER</w:t>
            </w:r>
            <w:r w:rsidR="00227DDA" w:rsidRPr="002206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r w:rsidRPr="00085B88">
              <w:rPr>
                <w:b/>
                <w:szCs w:val="20"/>
                <w:lang w:eastAsia="sl-SI"/>
              </w:rPr>
              <w:t>BIO MOLECULAR SYSTEMS</w:t>
            </w:r>
            <w:r w:rsidR="00227DDA" w:rsidRPr="00220672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:rsidR="00227DDA" w:rsidRPr="00227DDA" w:rsidRDefault="00227DDA" w:rsidP="00085B88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Namizna centrifuga (EPPENDORF model: 5702R)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Preverjanje delovanja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Kalibracija in popravilo po potrebi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Poročilo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Inkubator (MEMMERT, model: INB 32L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Mikroskop NIKON model: LH-M100CB – 1, tip: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Eclipse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80i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Namizna centrifuga EPPENDORF Mini spin plus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0672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Stresalnik EPPENDORF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MixMate</w:t>
            </w:r>
            <w:proofErr w:type="spellEnd"/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Termomixer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EPPENDORF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compact</w:t>
            </w:r>
            <w:proofErr w:type="spellEnd"/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- Preverjanje delovanja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Kontrola temperature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Mini UV komora ISKRA PIO, (PCR komora)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Avtoklav KAMBIČ, model: A-21CAV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Preverjanje delovanja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in test funkcionalnosti</w:t>
            </w:r>
          </w:p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Poročilo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Vakuumska črpalka VACUUBRAND, model: 1,4 CFM, 230VAC, 50HZ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Homogenizator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WITEG, model: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WiseTis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HG-15A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Homogenizator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mehka tkiva BERTIN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tehnologies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Precellys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24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pregled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Cs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Avtomatske pipete EPPENDORF, model: RESEARCH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 xml:space="preserve">- Kalibracija 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Potrdilo o opravljeni kalibraciji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0672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Avtomatske pipete EPPENDORF, model: REFERENCE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Kalibracija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</w:rPr>
              <w:t>- Potrdilo o izvedbi kalibracije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Računalnik DELL PS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Tiskalnik HP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Laserjet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1020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B3084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8.1</w:t>
            </w:r>
            <w:r w:rsidR="002B3084">
              <w:rPr>
                <w:rFonts w:ascii="Arial" w:eastAsia="Times New Roman" w:hAnsi="Arial" w:cs="Arial"/>
                <w:bCs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Scanner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CANON </w:t>
            </w:r>
            <w:proofErr w:type="spellStart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Lide</w:t>
            </w:r>
            <w:proofErr w:type="spellEnd"/>
            <w:r w:rsidRPr="00227DD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600F</w:t>
            </w:r>
          </w:p>
          <w:p w:rsidR="00227DDA" w:rsidRPr="00227DDA" w:rsidRDefault="00227DDA" w:rsidP="00227DDA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Vklop in preverjanje delovanja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227DDA">
              <w:rPr>
                <w:rFonts w:ascii="Arial" w:eastAsia="Times New Roman" w:hAnsi="Arial" w:cs="Arial"/>
                <w:sz w:val="20"/>
                <w:szCs w:val="24"/>
              </w:rPr>
              <w:t>kos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  <w:tr w:rsidR="00227DDA" w:rsidRPr="00227DDA" w:rsidTr="0087762A">
        <w:trPr>
          <w:trHeight w:val="5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SKUPAJ: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  <w:p w:rsidR="00227DDA" w:rsidRPr="00227DDA" w:rsidRDefault="00227DDA" w:rsidP="0087762A">
            <w:pPr>
              <w:widowControl w:val="0"/>
              <w:spacing w:after="0" w:line="260" w:lineRule="atLeast"/>
              <w:ind w:right="-109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  <w:highlight w:val="lightGray"/>
              </w:rPr>
              <w:t>(ocenjevalni kriterij)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righ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27DDA">
              <w:rPr>
                <w:rFonts w:ascii="Arial" w:eastAsia="Times New Roman" w:hAnsi="Arial" w:cs="Arial"/>
                <w:bCs/>
                <w:sz w:val="18"/>
                <w:szCs w:val="18"/>
              </w:rPr>
              <w:t>EUR</w:t>
            </w:r>
          </w:p>
        </w:tc>
      </w:tr>
    </w:tbl>
    <w:p w:rsidR="00227DDA" w:rsidRPr="00227DDA" w:rsidRDefault="00227DDA" w:rsidP="00227DD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:rsidR="00227DDA" w:rsidRPr="00227DDA" w:rsidRDefault="00227DDA" w:rsidP="00227DD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:rsidR="00227DDA" w:rsidRPr="00227DDA" w:rsidRDefault="00227DDA" w:rsidP="00227DD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:rsidR="00227DDA" w:rsidRPr="00227DDA" w:rsidRDefault="00227DDA" w:rsidP="00227DD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3119"/>
        <w:gridCol w:w="5953"/>
      </w:tblGrid>
      <w:tr w:rsidR="00227DDA" w:rsidRPr="00227DDA" w:rsidTr="002B3084">
        <w:tc>
          <w:tcPr>
            <w:tcW w:w="4077" w:type="dxa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3119" w:type="dxa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953" w:type="dxa"/>
          </w:tcPr>
          <w:p w:rsidR="00227DDA" w:rsidRPr="00227DDA" w:rsidRDefault="00227DDA" w:rsidP="00227DDA">
            <w:pPr>
              <w:widowControl w:val="0"/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7DDA">
              <w:rPr>
                <w:rFonts w:ascii="Arial" w:eastAsia="Times New Roman" w:hAnsi="Arial" w:cs="Arial"/>
                <w:b/>
                <w:sz w:val="20"/>
                <w:szCs w:val="20"/>
              </w:rPr>
              <w:t>_________________________</w:t>
            </w:r>
          </w:p>
        </w:tc>
      </w:tr>
    </w:tbl>
    <w:p w:rsidR="00227DDA" w:rsidRPr="00227DDA" w:rsidRDefault="00227DDA" w:rsidP="00227DD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:rsidR="00227DDA" w:rsidRPr="00227DDA" w:rsidRDefault="00227DDA" w:rsidP="00227DDA">
      <w:pPr>
        <w:widowControl w:val="0"/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227DDA">
        <w:rPr>
          <w:rFonts w:ascii="Arial" w:eastAsia="Times New Roman" w:hAnsi="Arial" w:cs="Arial"/>
          <w:sz w:val="20"/>
          <w:szCs w:val="20"/>
        </w:rPr>
        <w:t xml:space="preserve">                Kraj in datum</w:t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  <w:t xml:space="preserve">      Žig</w:t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</w:r>
      <w:r w:rsidRPr="00227DDA">
        <w:rPr>
          <w:rFonts w:ascii="Arial" w:eastAsia="Times New Roman" w:hAnsi="Arial" w:cs="Arial"/>
          <w:sz w:val="20"/>
          <w:szCs w:val="20"/>
        </w:rPr>
        <w:tab/>
        <w:t xml:space="preserve">               Podpis zakonitega zastopnika ponudnika</w:t>
      </w:r>
    </w:p>
    <w:p w:rsidR="00DC43D0" w:rsidRDefault="00DC43D0"/>
    <w:sectPr w:rsidR="00DC43D0" w:rsidSect="0087762A">
      <w:pgSz w:w="16838" w:h="11906" w:orient="landscape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F6030"/>
    <w:multiLevelType w:val="singleLevel"/>
    <w:tmpl w:val="C3728524"/>
    <w:lvl w:ilvl="0">
      <w:start w:val="9"/>
      <w:numFmt w:val="bullet"/>
      <w:pStyle w:val="Achievemen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" w15:restartNumberingAfterBreak="0">
    <w:nsid w:val="715B1308"/>
    <w:multiLevelType w:val="hybridMultilevel"/>
    <w:tmpl w:val="7F6230FA"/>
    <w:lvl w:ilvl="0" w:tplc="FFFFFFFF">
      <w:start w:val="4"/>
      <w:numFmt w:val="bullet"/>
      <w:pStyle w:val="Slog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DDA"/>
    <w:rsid w:val="00085B88"/>
    <w:rsid w:val="00220672"/>
    <w:rsid w:val="00227DDA"/>
    <w:rsid w:val="002B3084"/>
    <w:rsid w:val="0049242E"/>
    <w:rsid w:val="0087762A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CB04"/>
  <w15:chartTrackingRefBased/>
  <w15:docId w15:val="{BEA23C8A-E09E-4C6F-B334-DF30E0DC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227DDA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27DDA"/>
    <w:pPr>
      <w:keepNext/>
      <w:spacing w:after="0" w:line="240" w:lineRule="auto"/>
      <w:outlineLvl w:val="1"/>
    </w:pPr>
    <w:rPr>
      <w:rFonts w:ascii="Republika" w:eastAsia="Times New Roman" w:hAnsi="Republika" w:cs="Arial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227DDA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227DDA"/>
    <w:pPr>
      <w:keepNext/>
      <w:spacing w:before="240" w:after="60" w:line="260" w:lineRule="atLeast"/>
      <w:outlineLvl w:val="3"/>
    </w:pPr>
    <w:rPr>
      <w:rFonts w:ascii="Republika" w:eastAsia="Times New Roman" w:hAnsi="Republika" w:cs="Arial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227DDA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227DDA"/>
    <w:pPr>
      <w:spacing w:before="240" w:after="60" w:line="260" w:lineRule="atLeast"/>
      <w:outlineLvl w:val="5"/>
    </w:pPr>
    <w:rPr>
      <w:rFonts w:ascii="Republika" w:eastAsia="Times New Roman" w:hAnsi="Republika" w:cs="Arial"/>
      <w:b/>
      <w:bCs/>
    </w:rPr>
  </w:style>
  <w:style w:type="paragraph" w:styleId="Naslov7">
    <w:name w:val="heading 7"/>
    <w:basedOn w:val="Navaden"/>
    <w:next w:val="Navaden"/>
    <w:link w:val="Naslov7Znak"/>
    <w:qFormat/>
    <w:rsid w:val="00227DDA"/>
    <w:pPr>
      <w:keepNext/>
      <w:spacing w:after="0" w:line="240" w:lineRule="auto"/>
      <w:jc w:val="both"/>
      <w:outlineLvl w:val="6"/>
    </w:pPr>
    <w:rPr>
      <w:rFonts w:ascii="Arial Narrow" w:eastAsia="Times New Roman" w:hAnsi="Arial Narrow" w:cs="Arial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227DDA"/>
    <w:pPr>
      <w:keepNext/>
      <w:spacing w:after="0" w:line="240" w:lineRule="auto"/>
      <w:jc w:val="both"/>
      <w:outlineLvl w:val="7"/>
    </w:pPr>
    <w:rPr>
      <w:rFonts w:ascii="Republika" w:eastAsia="Times New Roman" w:hAnsi="Republika" w:cs="Arial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227DDA"/>
    <w:pPr>
      <w:keepNext/>
      <w:spacing w:after="0" w:line="240" w:lineRule="auto"/>
      <w:ind w:right="-1"/>
      <w:outlineLvl w:val="8"/>
    </w:pPr>
    <w:rPr>
      <w:rFonts w:ascii="Republika" w:eastAsia="Times New Roman" w:hAnsi="Republika" w:cs="Arial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227DDA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27DDA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227DDA"/>
    <w:rPr>
      <w:rFonts w:ascii="Arial" w:eastAsia="Times New Roman" w:hAnsi="Arial" w:cs="Arial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227DDA"/>
    <w:rPr>
      <w:rFonts w:ascii="Republika" w:eastAsia="Times New Roman" w:hAnsi="Republika" w:cs="Arial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227DDA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227DDA"/>
    <w:rPr>
      <w:rFonts w:ascii="Republika" w:eastAsia="Times New Roman" w:hAnsi="Republika" w:cs="Arial"/>
      <w:b/>
      <w:bCs/>
    </w:rPr>
  </w:style>
  <w:style w:type="character" w:customStyle="1" w:styleId="Naslov7Znak">
    <w:name w:val="Naslov 7 Znak"/>
    <w:basedOn w:val="Privzetapisavaodstavka"/>
    <w:link w:val="Naslov7"/>
    <w:rsid w:val="00227DDA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227DDA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227DDA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227DDA"/>
  </w:style>
  <w:style w:type="numbering" w:customStyle="1" w:styleId="Brezseznama11">
    <w:name w:val="Brez seznama11"/>
    <w:next w:val="Brezseznama"/>
    <w:semiHidden/>
    <w:unhideWhenUsed/>
    <w:rsid w:val="00227DDA"/>
  </w:style>
  <w:style w:type="paragraph" w:styleId="Glava">
    <w:name w:val="header"/>
    <w:basedOn w:val="Navaden"/>
    <w:link w:val="GlavaZnak"/>
    <w:rsid w:val="00227DDA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GlavaZnak">
    <w:name w:val="Glava Znak"/>
    <w:basedOn w:val="Privzetapisavaodstavka"/>
    <w:link w:val="Glava"/>
    <w:rsid w:val="00227DDA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rsid w:val="00227DDA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227DDA"/>
    <w:rPr>
      <w:rFonts w:ascii="Arial" w:eastAsia="Times New Roman" w:hAnsi="Arial" w:cs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227DDA"/>
    <w:pPr>
      <w:spacing w:after="0" w:line="260" w:lineRule="atLeast"/>
    </w:pPr>
    <w:rPr>
      <w:rFonts w:ascii="Tahoma" w:eastAsia="Times New Roman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227DDA"/>
    <w:rPr>
      <w:rFonts w:ascii="Tahoma" w:eastAsia="Times New Roman" w:hAnsi="Tahoma" w:cs="Times New Roman"/>
      <w:sz w:val="16"/>
      <w:szCs w:val="16"/>
    </w:rPr>
  </w:style>
  <w:style w:type="table" w:styleId="Tabelamrea">
    <w:name w:val="Table Grid"/>
    <w:basedOn w:val="Navadnatabela"/>
    <w:rsid w:val="00227DD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227DDA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227DDA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227DDA"/>
    <w:rPr>
      <w:color w:val="0000FF"/>
      <w:u w:val="single"/>
    </w:rPr>
  </w:style>
  <w:style w:type="paragraph" w:customStyle="1" w:styleId="podpisi">
    <w:name w:val="podpisi"/>
    <w:basedOn w:val="Navaden"/>
    <w:qFormat/>
    <w:rsid w:val="00227DDA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227DDA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27DDA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227DDA"/>
    <w:pPr>
      <w:spacing w:after="120" w:line="260" w:lineRule="atLeast"/>
    </w:pPr>
    <w:rPr>
      <w:rFonts w:ascii="Arial" w:eastAsia="Times New Roman" w:hAnsi="Arial" w:cs="Arial"/>
      <w:sz w:val="20"/>
      <w:szCs w:val="24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227DDA"/>
    <w:rPr>
      <w:rFonts w:ascii="Arial" w:eastAsia="Times New Roman" w:hAnsi="Arial" w:cs="Arial"/>
      <w:sz w:val="20"/>
      <w:szCs w:val="24"/>
    </w:rPr>
  </w:style>
  <w:style w:type="paragraph" w:styleId="Telobesedila3">
    <w:name w:val="Body Text 3"/>
    <w:basedOn w:val="Navaden"/>
    <w:link w:val="Telobesedila3Znak"/>
    <w:rsid w:val="00227DDA"/>
    <w:pPr>
      <w:spacing w:after="120" w:line="260" w:lineRule="atLeast"/>
    </w:pPr>
    <w:rPr>
      <w:rFonts w:ascii="Arial" w:eastAsia="Times New Roman" w:hAnsi="Arial" w:cs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27DDA"/>
    <w:rPr>
      <w:rFonts w:ascii="Arial" w:eastAsia="Times New Roman" w:hAnsi="Arial" w:cs="Arial"/>
      <w:sz w:val="16"/>
      <w:szCs w:val="16"/>
    </w:rPr>
  </w:style>
  <w:style w:type="paragraph" w:styleId="Telobesedila-zamik2">
    <w:name w:val="Body Text Indent 2"/>
    <w:basedOn w:val="Navaden"/>
    <w:link w:val="Telobesedila-zamik2Znak"/>
    <w:rsid w:val="00227DDA"/>
    <w:pPr>
      <w:spacing w:after="0" w:line="240" w:lineRule="auto"/>
      <w:ind w:left="810"/>
      <w:jc w:val="both"/>
    </w:pPr>
    <w:rPr>
      <w:rFonts w:ascii="Arial Narrow" w:eastAsia="Times New Roman" w:hAnsi="Arial Narrow" w:cs="Arial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227DDA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227DDA"/>
    <w:pPr>
      <w:spacing w:after="0" w:line="240" w:lineRule="auto"/>
      <w:ind w:left="567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227DDA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227DDA"/>
    <w:pPr>
      <w:spacing w:after="0" w:line="240" w:lineRule="auto"/>
      <w:ind w:firstLine="720"/>
      <w:jc w:val="both"/>
    </w:pPr>
    <w:rPr>
      <w:rFonts w:ascii="Republika" w:eastAsia="Times New Roman" w:hAnsi="Republika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227DDA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227DDA"/>
  </w:style>
  <w:style w:type="paragraph" w:styleId="Naslov">
    <w:name w:val="Title"/>
    <w:basedOn w:val="Navaden"/>
    <w:link w:val="NaslovZnak"/>
    <w:qFormat/>
    <w:rsid w:val="00227DDA"/>
    <w:pPr>
      <w:spacing w:after="0" w:line="240" w:lineRule="auto"/>
      <w:jc w:val="center"/>
    </w:pPr>
    <w:rPr>
      <w:rFonts w:ascii="Republika" w:eastAsia="Times New Roman" w:hAnsi="Republika" w:cs="Arial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227DDA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227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227DD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227D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227DDA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227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227DDA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227DDA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227DDA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227DDA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227DD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227DDA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227DD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227DDA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227DDA"/>
    <w:pPr>
      <w:spacing w:after="0" w:line="240" w:lineRule="auto"/>
    </w:pPr>
    <w:rPr>
      <w:rFonts w:ascii="Republika" w:eastAsia="Times New Roman" w:hAnsi="Republika" w:cs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227DDA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227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227DDA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227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227DDA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227DDA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227DDA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227DDA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227DDA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227DDA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227DDA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227DDA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227DDA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227DDA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227DDA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227DDA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227DDA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227DDA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227DDA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227DDA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227DDA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227DDA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227DDA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227DDA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227DDA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227DDA"/>
  </w:style>
  <w:style w:type="character" w:customStyle="1" w:styleId="bodycopy1">
    <w:name w:val="bodycopy1"/>
    <w:rsid w:val="00227DDA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227DDA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227DDA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227DDA"/>
  </w:style>
  <w:style w:type="character" w:styleId="Sprotnaopomba-sklic">
    <w:name w:val="footnote reference"/>
    <w:semiHidden/>
    <w:rsid w:val="00227DDA"/>
    <w:rPr>
      <w:vertAlign w:val="superscript"/>
    </w:rPr>
  </w:style>
  <w:style w:type="character" w:styleId="Pripombasklic">
    <w:name w:val="annotation reference"/>
    <w:uiPriority w:val="99"/>
    <w:rsid w:val="00227DD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227DDA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227DDA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227DD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27DDA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227DDA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</w:rPr>
  </w:style>
  <w:style w:type="paragraph" w:styleId="Stvarnokazalo1">
    <w:name w:val="index 1"/>
    <w:basedOn w:val="Navaden"/>
    <w:next w:val="Navaden"/>
    <w:autoRedefine/>
    <w:uiPriority w:val="99"/>
    <w:rsid w:val="00227DDA"/>
    <w:pPr>
      <w:spacing w:after="0" w:line="260" w:lineRule="atLeast"/>
      <w:ind w:left="200" w:hanging="200"/>
    </w:pPr>
    <w:rPr>
      <w:rFonts w:ascii="Arial" w:eastAsia="Times New Roman" w:hAnsi="Arial" w:cs="Arial"/>
      <w:sz w:val="20"/>
      <w:szCs w:val="24"/>
    </w:rPr>
  </w:style>
  <w:style w:type="paragraph" w:styleId="Stvarnokazalo2">
    <w:name w:val="index 2"/>
    <w:basedOn w:val="Navaden"/>
    <w:next w:val="Navaden"/>
    <w:autoRedefine/>
    <w:uiPriority w:val="99"/>
    <w:rsid w:val="00227DDA"/>
    <w:pPr>
      <w:spacing w:after="0" w:line="260" w:lineRule="atLeast"/>
      <w:ind w:left="400" w:hanging="200"/>
    </w:pPr>
    <w:rPr>
      <w:rFonts w:ascii="Arial" w:eastAsia="Times New Roman" w:hAnsi="Arial" w:cs="Arial"/>
      <w:sz w:val="20"/>
      <w:szCs w:val="24"/>
    </w:rPr>
  </w:style>
  <w:style w:type="paragraph" w:customStyle="1" w:styleId="Navaden4">
    <w:name w:val="Navaden4"/>
    <w:rsid w:val="00227DD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227DD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227DDA"/>
  </w:style>
  <w:style w:type="numbering" w:customStyle="1" w:styleId="NoList2">
    <w:name w:val="No List2"/>
    <w:next w:val="Brezseznama"/>
    <w:semiHidden/>
    <w:rsid w:val="00227DDA"/>
  </w:style>
  <w:style w:type="paragraph" w:styleId="Brezrazmikov">
    <w:name w:val="No Spacing"/>
    <w:qFormat/>
    <w:rsid w:val="00227DDA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1">
    <w:name w:val="Table Grid1"/>
    <w:basedOn w:val="Navadnatabela"/>
    <w:next w:val="Tabelamrea"/>
    <w:rsid w:val="00227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227DDA"/>
    <w:rPr>
      <w:i/>
      <w:iCs/>
    </w:rPr>
  </w:style>
  <w:style w:type="paragraph" w:customStyle="1" w:styleId="Navaden5">
    <w:name w:val="Navaden5"/>
    <w:rsid w:val="00227DD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3</cp:revision>
  <dcterms:created xsi:type="dcterms:W3CDTF">2024-07-24T11:41:00Z</dcterms:created>
  <dcterms:modified xsi:type="dcterms:W3CDTF">2024-08-01T12:29:00Z</dcterms:modified>
</cp:coreProperties>
</file>