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A3D9F8E" w14:textId="1F2DF4A4">
      <w:pPr>
        <w:pBdr/>
        <w:spacing w:after="0" w:line="240" w:lineRule="auto"/>
        <w:ind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IZJAVA</w:t>
      </w:r>
      <w:r>
        <w:rPr>
          <w:rFonts w:ascii="Verdana" w:hAnsi="Verdana"/>
          <w:b/>
          <w:sz w:val="28"/>
          <w:szCs w:val="28"/>
          <w:lang w:val="sl-SI"/>
        </w:rPr>
        <w:t xml:space="preserve"> </w:t>
      </w:r>
      <w:r>
        <w:rPr>
          <w:rFonts w:ascii="Verdana" w:hAnsi="Verdana"/>
          <w:b/>
          <w:sz w:val="28"/>
          <w:szCs w:val="28"/>
          <w:lang w:val="sl-SI"/>
        </w:rPr>
        <w:t xml:space="preserve">po 35. členu ZIntPK</w:t>
      </w:r>
      <w:r>
        <w:rPr>
          <w:rStyle w:val="1050"/>
          <w:rFonts w:ascii="Verdana" w:hAnsi="Verdana"/>
          <w:b/>
          <w:sz w:val="28"/>
          <w:szCs w:val="28"/>
          <w:lang w:val="sl-SI"/>
        </w:rPr>
        <w:footnoteReference w:id="2"/>
      </w:r>
      <w:r>
        <w:rPr>
          <w:rFonts w:ascii="Verdana" w:hAnsi="Verdana"/>
          <w:sz w:val="28"/>
          <w:szCs w:val="28"/>
          <w:lang w:val="sl-SI"/>
        </w:rPr>
      </w:r>
      <w:r>
        <w:rPr>
          <w:rFonts w:ascii="Verdana" w:hAnsi="Verdana"/>
          <w:sz w:val="28"/>
          <w:szCs w:val="28"/>
          <w:lang w:val="sl-SI"/>
        </w:rPr>
      </w:r>
    </w:p>
    <w:p w14:paraId="71C0871C" w14:textId="5233C828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27928EE8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tbl>
      <w:tblPr>
        <w:jc w:val="center"/>
        <w:tblW w:w="969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jc w:val="center"/>
          <w:trHeight w:val="20"/>
        </w:trPr>
        <w:tc>
          <w:tcPr>
            <w:gridSpan w:val="2"/>
            <w:shd w:val="clear" w:color="auto" w:fill="fdb940"/>
            <w:tcBorders/>
            <w:tcW w:w="9694" w:type="dxa"/>
            <w:vAlign w:val="center"/>
            <w:textDirection w:val="lrTb"/>
            <w:noWrap w:val="false"/>
          </w:tcPr>
          <w:p w14:paraId="020C2D0B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Javno naročilo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3D6D50F5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25C7A32B" w14:textId="576564A0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Prostovoljno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gasilsko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društvo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Zgornji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 w14:paraId="76CB6C21" w14:textId="03A7882A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Zgornji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 w14:paraId="75002113" w14:textId="4B332F42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4207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Cerklje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5E7F9B8E" w14:textId="6F93EDE9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naročila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607F76F1" w14:textId="392EAA49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2C2547F2" w14:textId="29D5DA72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naročila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2D45D75F" w14:textId="2B562648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Dobava gasilskega vozila GVC-1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</w:tbl>
    <w:p w14:paraId="5036AA7B" w14:textId="2B305728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788C5087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tbl>
      <w:tblPr>
        <w:jc w:val="center"/>
        <w:tblW w:w="969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17F343BB" w14:textId="45180D24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priimek fizične osebe ali odgovorne osebe poslovnega subjekta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6A7A123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6D302ACA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46E644FD" w14:textId="013CB6EC">
      <w:pPr>
        <w:pBdr/>
        <w:spacing w:after="0" w:line="240" w:lineRule="auto"/>
        <w:ind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izjavljam, da poslovni subjekt</w: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27204E2F" w14:textId="6F984D55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tbl>
      <w:tblPr>
        <w:jc w:val="center"/>
        <w:tblW w:w="969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440B21A9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(kot izhaja iz uradnih evidenc)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7A1723D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40DB9C62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2677943D" w14:textId="3079BD36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(</w:t>
      </w:r>
      <w:r>
        <w:rPr>
          <w:rFonts w:ascii="Verdana" w:hAnsi="Verdana"/>
          <w:sz w:val="20"/>
          <w:szCs w:val="20"/>
          <w:lang w:val="sl-SI"/>
        </w:rPr>
        <w:t xml:space="preserve">Uradni list RS, št. 69/11, 158/20, 3/22 – ZDeb in 16/23 – ZZPri</w:t>
      </w:r>
      <w:r>
        <w:rPr>
          <w:rFonts w:ascii="Verdana" w:hAnsi="Verdana"/>
          <w:sz w:val="20"/>
          <w:szCs w:val="20"/>
          <w:lang w:val="sl-SI"/>
        </w:rPr>
        <w:t xml:space="preserve">;</w:t>
      </w:r>
      <w:r>
        <w:rPr>
          <w:rFonts w:ascii="Verdana" w:hAnsi="Verdana"/>
          <w:sz w:val="20"/>
          <w:szCs w:val="20"/>
          <w:lang w:val="sl-SI"/>
        </w:rPr>
        <w:t xml:space="preserve"> ZIntPK).   </w: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0D0AD9BC" w14:textId="77777777">
      <w:pPr>
        <w:pBdr/>
        <w:spacing w:after="0" w:line="240" w:lineRule="auto"/>
        <w:ind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</w:r>
      <w:r>
        <w:rPr>
          <w:rFonts w:ascii="Verdana" w:hAnsi="Verdana"/>
          <w:b/>
          <w:sz w:val="20"/>
          <w:szCs w:val="20"/>
          <w:u w:val="single"/>
          <w:lang w:val="sl-SI"/>
        </w:rPr>
      </w:r>
      <w:r>
        <w:rPr>
          <w:rFonts w:ascii="Verdana" w:hAnsi="Verdana"/>
          <w:b/>
          <w:sz w:val="20"/>
          <w:szCs w:val="20"/>
          <w:u w:val="single"/>
          <w:lang w:val="sl-SI"/>
        </w:rPr>
      </w:r>
    </w:p>
    <w:p w14:paraId="744FAEB3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>
        <w:rPr>
          <w:rFonts w:ascii="Verdana" w:hAnsi="Verdana"/>
          <w:sz w:val="20"/>
          <w:szCs w:val="20"/>
          <w:lang w:val="sl-SI"/>
        </w:rPr>
        <w:t xml:space="preserve">posledico ničnost pogodbe.</w: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2FEE0C14" w14:textId="39FA3152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4E42EE61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5A522944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1D05F2EB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Zakoniti zastopnik: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 w:val="true"/>
            <w:calcOnExit w:val="false"/>
            <w:textInput/>
          </w:ffData>
        </w:fldChar>
      </w:r>
      <w:bookmarkStart w:id="0" w:name="Text1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 w:val="true"/>
            <w:calcOnExit w:val="false"/>
            <w:textInput/>
          </w:ffData>
        </w:fldChar>
      </w:r>
      <w:bookmarkStart w:id="1" w:name="Text2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0844D35A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536CDD17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 xml:space="preserve">Ime in priimek: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126A9A71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1EB3A7C9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Podpis in žig: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6D388F7A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2DE523C6" w14:textId="77777777">
      <w:pPr>
        <w:pBdr/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4A9A1E7F" w14:textId="77777777">
      <w:pPr>
        <w:pBdr/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17DCC916" w14:textId="77777777">
      <w:pPr>
        <w:pBdr/>
        <w:spacing w:after="12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0C1B0FA3" w14:textId="032EA281">
      <w:pPr>
        <w:pBdr/>
        <w:spacing w:after="12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da ponudnik nastopa s partnerji,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se predmetni obrazec predloži tudi za partnerje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.</w:t>
      </w: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2F1CD767" w14:textId="0080482A">
      <w:pPr>
        <w:pBdr/>
        <w:spacing w:after="12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545D3126" w14:textId="163359FF">
      <w:pPr>
        <w:pBdr/>
        <w:spacing w:after="12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4B104CC0" w14:textId="6A656660">
      <w:pPr>
        <w:pBdr/>
        <w:spacing w:after="120" w:line="240" w:lineRule="auto"/>
        <w:ind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 xml:space="preserve">V kolikor</w:t>
      </w:r>
      <w:r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 xml:space="preserve">(</w:t>
      </w:r>
      <w:r>
        <w:rPr>
          <w:rFonts w:ascii="Verdana" w:hAnsi="Verdana"/>
          <w:sz w:val="20"/>
          <w:szCs w:val="20"/>
          <w:lang w:val="sl-SI"/>
        </w:rPr>
        <w:t xml:space="preserve">izbranega) ponudnika, pred podpisom pogodbe</w:t>
      </w:r>
      <w:r>
        <w:rPr>
          <w:rFonts w:ascii="Verdana" w:hAnsi="Verdana"/>
          <w:sz w:val="20"/>
          <w:szCs w:val="20"/>
          <w:lang w:val="sl-SI"/>
        </w:rPr>
        <w:t xml:space="preserve">.</w:t>
      </w:r>
      <w:r>
        <w:rPr>
          <w:rFonts w:ascii="Verdana" w:hAnsi="Verdana"/>
          <w:sz w:val="20"/>
          <w:szCs w:val="20"/>
          <w:u w:val="single"/>
          <w:lang w:val="sl-SI"/>
        </w:rPr>
      </w:r>
      <w:r>
        <w:rPr>
          <w:rFonts w:ascii="Verdana" w:hAnsi="Verdana"/>
          <w:sz w:val="20"/>
          <w:szCs w:val="20"/>
          <w:u w:val="single"/>
          <w:lang w:val="sl-SI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9" w:orient="portrait" w:w="11907"/>
      <w:pgMar w:top="1418" w:right="1134" w:bottom="1418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46E7BA07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07CDFF69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4833"/>
      <w:gridCol w:w="4806"/>
    </w:tblGrid>
    <w:tr>
      <w:trPr/>
      <w:tc>
        <w:tcPr>
          <w:shd w:val="clear" w:color="auto" w:fill="auto"/>
          <w:tcBorders/>
          <w:tcW w:w="6588" w:type="dxa"/>
          <w:textDirection w:val="lrTb"/>
          <w:noWrap w:val="false"/>
        </w:tcPr>
        <w:p w14:paraId="3E31F99D" w14:textId="26A79DB4">
          <w:pPr>
            <w:pStyle w:val="1045"/>
            <w:pBdr/>
            <w:spacing w:after="0" w:line="240" w:lineRule="auto"/>
            <w:ind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e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3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</w:p>
      </w:tc>
      <w:tc>
        <w:tcPr>
          <w:shd w:val="clear" w:color="auto" w:fill="auto"/>
          <w:tcBorders/>
          <w:tcW w:w="6588" w:type="dxa"/>
          <w:vAlign w:val="center"/>
          <w:textDirection w:val="lrTb"/>
          <w:noWrap w:val="false"/>
        </w:tcPr>
        <w:p w14:paraId="1E41E011" w14:textId="77777777">
          <w:pPr>
            <w:pStyle w:val="1045"/>
            <w:pBdr/>
            <w:spacing w:after="0" w:line="240" w:lineRule="auto"/>
            <w:ind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</w:tr>
  </w:tbl>
  <w:p w14:paraId="39F41AE1" w14:textId="77777777">
    <w:pPr>
      <w:pStyle w:val="104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1369370" w14:textId="77777777">
    <w:pPr>
      <w:pStyle w:val="104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CB0BEF3" w14:textId="77777777">
    <w:pPr>
      <w:pStyle w:val="104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4A6C1DA1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58B37664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25CAD78F" w14:textId="77777777">
      <w:pPr>
        <w:pStyle w:val="1048"/>
        <w:pBdr/>
        <w:spacing/>
        <w:ind/>
        <w:rPr>
          <w:i/>
          <w:iCs/>
          <w:lang w:val="sl-SI"/>
        </w:rPr>
      </w:pPr>
      <w:r>
        <w:rPr>
          <w:rStyle w:val="1050"/>
          <w:i/>
          <w:iCs/>
          <w:lang w:val="sl-SI"/>
        </w:rPr>
        <w:footnoteRef/>
      </w:r>
      <w:r>
        <w:rPr>
          <w:i/>
          <w:iCs/>
          <w:lang w:val="sl-SI"/>
        </w:rPr>
        <w:t xml:space="preserve"> 1. odstavek 35. člena ZIntPK:</w:t>
      </w:r>
      <w:r>
        <w:rPr>
          <w:i/>
          <w:iCs/>
          <w:lang w:val="sl-SI"/>
        </w:rPr>
      </w:r>
      <w:r>
        <w:rPr>
          <w:i/>
          <w:iCs/>
          <w:lang w:val="sl-SI"/>
        </w:rPr>
      </w:r>
    </w:p>
    <w:p w14:paraId="71BC60FD" w14:textId="77777777">
      <w:pPr>
        <w:pStyle w:val="1048"/>
        <w:pBdr/>
        <w:spacing/>
        <w:ind/>
        <w:rPr>
          <w:i/>
          <w:iCs/>
          <w:lang w:val="sl-SI"/>
        </w:rPr>
      </w:pPr>
      <w:r>
        <w:rPr>
          <w:i/>
          <w:iCs/>
          <w:lang w:val="sl-SI"/>
        </w:rPr>
        <w:t xml:space="preserve">Organ ali organizacija javnega sektorja, ki je zavezan postopek javnega naročanja voditi skladno s predpisi, ki urejajo javno naročanje, ali izvaja postopek podeljevanja koncesij ali drugih oblik javno-zasebneg</w:t>
      </w:r>
      <w:r>
        <w:rPr>
          <w:i/>
          <w:iCs/>
          <w:lang w:val="sl-SI"/>
        </w:rPr>
        <w:t xml:space="preserve">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  <w:r>
        <w:rPr>
          <w:i/>
          <w:iCs/>
          <w:lang w:val="sl-SI"/>
        </w:rPr>
      </w:r>
      <w:r>
        <w:rPr>
          <w:i/>
          <w:iCs/>
          <w:lang w:val="sl-SI"/>
        </w:rPr>
      </w:r>
    </w:p>
    <w:p w14:paraId="7B915ED7" w14:textId="77777777">
      <w:pPr>
        <w:pStyle w:val="1048"/>
        <w:numPr>
          <w:ilvl w:val="0"/>
          <w:numId w:val="4"/>
        </w:numPr>
        <w:pBdr/>
        <w:spacing/>
        <w:ind/>
        <w:rPr>
          <w:i/>
          <w:iCs/>
          <w:lang w:val="sl-SI"/>
        </w:rPr>
      </w:pPr>
      <w:r>
        <w:rPr>
          <w:i/>
          <w:iCs/>
          <w:lang w:val="sl-SI"/>
        </w:rPr>
        <w:t xml:space="preserve">udeležen kot poslovodja, član poslovodstva ali zakoniti zastopnik ali</w:t>
      </w:r>
      <w:r>
        <w:rPr>
          <w:i/>
          <w:iCs/>
          <w:lang w:val="sl-SI"/>
        </w:rPr>
      </w:r>
      <w:r>
        <w:rPr>
          <w:i/>
          <w:iCs/>
          <w:lang w:val="sl-SI"/>
        </w:rPr>
      </w:r>
    </w:p>
    <w:p w14:paraId="410F0D5F" w14:textId="698DAF77">
      <w:pPr>
        <w:pStyle w:val="1048"/>
        <w:numPr>
          <w:ilvl w:val="0"/>
          <w:numId w:val="4"/>
        </w:numPr>
        <w:pBdr/>
        <w:spacing/>
        <w:ind/>
        <w:rPr>
          <w:i/>
          <w:iCs/>
          <w:sz w:val="16"/>
          <w:szCs w:val="16"/>
        </w:rPr>
      </w:pPr>
      <w:r>
        <w:rPr>
          <w:i/>
          <w:iCs/>
          <w:lang w:val="sl-SI"/>
        </w:rPr>
        <w:t xml:space="preserve">neposredno ali prek drugih pravnih oseb v več kot pet odstotnem deležu udeležen pri ustanoviteljskih pravicah, upravljanju ali kapitalu.</w:t>
      </w:r>
      <w:r>
        <w:rPr>
          <w:i/>
          <w:iCs/>
          <w:sz w:val="16"/>
          <w:szCs w:val="16"/>
        </w:rPr>
      </w:r>
      <w:r>
        <w:rPr>
          <w:i/>
          <w:iCs/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801"/>
      <w:gridCol w:w="4838"/>
    </w:tblGrid>
    <w:tr>
      <w:trPr/>
      <w:tc>
        <w:tcPr>
          <w:shd w:val="clear" w:color="auto" w:fill="auto"/>
          <w:tcBorders/>
          <w:tcW w:w="6588" w:type="dxa"/>
          <w:textDirection w:val="lrTb"/>
          <w:noWrap w:val="false"/>
        </w:tcPr>
        <w:p w14:paraId="7FF51AD1" w14:textId="77777777">
          <w:pPr>
            <w:pStyle w:val="1043"/>
            <w:pBdr/>
            <w:spacing w:after="0" w:line="240" w:lineRule="auto"/>
            <w:ind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ePRO</w:t>
          </w:r>
          <w:r>
            <w:rPr>
              <w:rFonts w:ascii="Verdana" w:hAnsi="Verdana"/>
              <w:sz w:val="16"/>
              <w:szCs w:val="16"/>
              <w:lang w:val="sl-SI"/>
            </w:rPr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  <w:tc>
        <w:tcPr>
          <w:shd w:val="clear" w:color="auto" w:fill="auto"/>
          <w:tcBorders/>
          <w:tcW w:w="6588" w:type="dxa"/>
          <w:textDirection w:val="lrTb"/>
          <w:noWrap w:val="false"/>
        </w:tcPr>
        <w:p w14:paraId="7912C420" w14:textId="3AD32B60">
          <w:pPr>
            <w:pStyle w:val="1043"/>
            <w:pBdr/>
            <w:spacing w:after="0" w:line="240" w:lineRule="auto"/>
            <w:ind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 35. členu ZIntPK</w:t>
          </w:r>
          <w:r>
            <w:rPr>
              <w:rFonts w:ascii="Verdana" w:hAnsi="Verdana"/>
              <w:sz w:val="16"/>
              <w:szCs w:val="16"/>
              <w:lang w:val="sl-SI"/>
            </w:rPr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</w:tr>
  </w:tbl>
  <w:p w14:paraId="39FEC7BB" w14:textId="77777777">
    <w:pPr>
      <w:pStyle w:val="1043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C72FFFA" w14:textId="77777777">
    <w:pPr>
      <w:pStyle w:val="1043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6F52A57" w14:textId="77777777">
    <w:pPr>
      <w:pStyle w:val="104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845A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cs="Calibri" w:eastAsiaTheme="minorHAns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5C5C112C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69D14E41"/>
    <w:lvl w:ilvl="0">
      <w:isLgl w:val="false"/>
      <w:lvlJc w:val="left"/>
      <w:lvlText w:val="%1"/>
      <w:numFmt w:val="decimal"/>
      <w:pPr>
        <w:pBdr/>
        <w:spacing/>
        <w:ind w:hanging="357" w:left="35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7C7D2AD1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sl-SI" w:eastAsia="sl-SI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61">
    <w:name w:val="Table Grid Light"/>
    <w:basedOn w:val="10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10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10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10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10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10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86">
    <w:name w:val="Heading 1"/>
    <w:basedOn w:val="1039"/>
    <w:next w:val="1039"/>
    <w:link w:val="99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87">
    <w:name w:val="Heading 2"/>
    <w:basedOn w:val="1039"/>
    <w:next w:val="1039"/>
    <w:link w:val="99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88">
    <w:name w:val="Heading 3"/>
    <w:basedOn w:val="1039"/>
    <w:next w:val="1039"/>
    <w:link w:val="99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89">
    <w:name w:val="Heading 4"/>
    <w:basedOn w:val="1039"/>
    <w:next w:val="1039"/>
    <w:link w:val="99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90">
    <w:name w:val="Heading 5"/>
    <w:basedOn w:val="1039"/>
    <w:next w:val="1039"/>
    <w:link w:val="99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91">
    <w:name w:val="Heading 6"/>
    <w:basedOn w:val="1039"/>
    <w:next w:val="1039"/>
    <w:link w:val="100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92">
    <w:name w:val="Heading 7"/>
    <w:basedOn w:val="1039"/>
    <w:next w:val="1039"/>
    <w:link w:val="100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93">
    <w:name w:val="Heading 8"/>
    <w:basedOn w:val="1039"/>
    <w:next w:val="1039"/>
    <w:link w:val="100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94">
    <w:name w:val="Heading 9"/>
    <w:basedOn w:val="1039"/>
    <w:next w:val="1039"/>
    <w:link w:val="100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95">
    <w:name w:val="Heading 1 Char"/>
    <w:basedOn w:val="1040"/>
    <w:link w:val="9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96">
    <w:name w:val="Heading 2 Char"/>
    <w:basedOn w:val="1040"/>
    <w:link w:val="9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97">
    <w:name w:val="Heading 3 Char"/>
    <w:basedOn w:val="1040"/>
    <w:link w:val="9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98">
    <w:name w:val="Heading 4 Char"/>
    <w:basedOn w:val="1040"/>
    <w:link w:val="98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99">
    <w:name w:val="Heading 5 Char"/>
    <w:basedOn w:val="1040"/>
    <w:link w:val="9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00">
    <w:name w:val="Heading 6 Char"/>
    <w:basedOn w:val="1040"/>
    <w:link w:val="99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01">
    <w:name w:val="Heading 7 Char"/>
    <w:basedOn w:val="1040"/>
    <w:link w:val="99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02">
    <w:name w:val="Heading 8 Char"/>
    <w:basedOn w:val="1040"/>
    <w:link w:val="99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3">
    <w:name w:val="Heading 9 Char"/>
    <w:basedOn w:val="1040"/>
    <w:link w:val="99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04">
    <w:name w:val="Title"/>
    <w:basedOn w:val="1039"/>
    <w:next w:val="1039"/>
    <w:link w:val="100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05">
    <w:name w:val="Title Char"/>
    <w:basedOn w:val="1040"/>
    <w:link w:val="100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06">
    <w:name w:val="Subtitle"/>
    <w:basedOn w:val="1039"/>
    <w:next w:val="1039"/>
    <w:link w:val="100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7">
    <w:name w:val="Subtitle Char"/>
    <w:basedOn w:val="1040"/>
    <w:link w:val="100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8">
    <w:name w:val="Quote"/>
    <w:basedOn w:val="1039"/>
    <w:next w:val="1039"/>
    <w:link w:val="100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09">
    <w:name w:val="Quote Char"/>
    <w:basedOn w:val="1040"/>
    <w:link w:val="100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10">
    <w:name w:val="List Paragraph"/>
    <w:basedOn w:val="1039"/>
    <w:uiPriority w:val="34"/>
    <w:qFormat/>
    <w:pPr>
      <w:pBdr/>
      <w:spacing/>
      <w:ind w:left="720"/>
      <w:contextualSpacing w:val="true"/>
    </w:pPr>
  </w:style>
  <w:style w:type="character" w:styleId="1011">
    <w:name w:val="Intense Emphasis"/>
    <w:basedOn w:val="104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12">
    <w:name w:val="Intense Quote"/>
    <w:basedOn w:val="1039"/>
    <w:next w:val="1039"/>
    <w:link w:val="101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13">
    <w:name w:val="Intense Quote Char"/>
    <w:basedOn w:val="1040"/>
    <w:link w:val="101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14">
    <w:name w:val="Intense Reference"/>
    <w:basedOn w:val="104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15">
    <w:name w:val="No Spacing"/>
    <w:basedOn w:val="1039"/>
    <w:uiPriority w:val="1"/>
    <w:qFormat/>
    <w:pPr>
      <w:pBdr/>
      <w:spacing w:after="0" w:line="240" w:lineRule="auto"/>
      <w:ind/>
    </w:pPr>
  </w:style>
  <w:style w:type="character" w:styleId="1016">
    <w:name w:val="Subtle Emphasis"/>
    <w:basedOn w:val="10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17">
    <w:name w:val="Emphasis"/>
    <w:basedOn w:val="1040"/>
    <w:uiPriority w:val="20"/>
    <w:qFormat/>
    <w:pPr>
      <w:pBdr/>
      <w:spacing/>
      <w:ind/>
    </w:pPr>
    <w:rPr>
      <w:i/>
      <w:iCs/>
    </w:rPr>
  </w:style>
  <w:style w:type="character" w:styleId="1018">
    <w:name w:val="Strong"/>
    <w:basedOn w:val="1040"/>
    <w:uiPriority w:val="22"/>
    <w:qFormat/>
    <w:pPr>
      <w:pBdr/>
      <w:spacing/>
      <w:ind/>
    </w:pPr>
    <w:rPr>
      <w:b/>
      <w:bCs/>
    </w:rPr>
  </w:style>
  <w:style w:type="character" w:styleId="1019">
    <w:name w:val="Subtle Reference"/>
    <w:basedOn w:val="10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20">
    <w:name w:val="Book Title"/>
    <w:basedOn w:val="104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21">
    <w:name w:val="Caption"/>
    <w:basedOn w:val="1039"/>
    <w:next w:val="103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22">
    <w:name w:val="endnote text"/>
    <w:basedOn w:val="1039"/>
    <w:link w:val="102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23">
    <w:name w:val="Endnote Text Char"/>
    <w:basedOn w:val="1040"/>
    <w:link w:val="1022"/>
    <w:uiPriority w:val="99"/>
    <w:semiHidden/>
    <w:pPr>
      <w:pBdr/>
      <w:spacing/>
      <w:ind/>
    </w:pPr>
    <w:rPr>
      <w:sz w:val="20"/>
      <w:szCs w:val="20"/>
    </w:rPr>
  </w:style>
  <w:style w:type="character" w:styleId="1024">
    <w:name w:val="endnote reference"/>
    <w:basedOn w:val="1040"/>
    <w:uiPriority w:val="99"/>
    <w:semiHidden/>
    <w:unhideWhenUsed/>
    <w:pPr>
      <w:pBdr/>
      <w:spacing/>
      <w:ind/>
    </w:pPr>
    <w:rPr>
      <w:vertAlign w:val="superscript"/>
    </w:rPr>
  </w:style>
  <w:style w:type="character" w:styleId="1025">
    <w:name w:val="Hyperlink"/>
    <w:basedOn w:val="104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26">
    <w:name w:val="FollowedHyperlink"/>
    <w:basedOn w:val="104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27">
    <w:name w:val="toc 1"/>
    <w:basedOn w:val="1039"/>
    <w:next w:val="1039"/>
    <w:uiPriority w:val="39"/>
    <w:unhideWhenUsed/>
    <w:pPr>
      <w:pBdr/>
      <w:spacing w:after="100"/>
      <w:ind/>
    </w:pPr>
  </w:style>
  <w:style w:type="paragraph" w:styleId="1028">
    <w:name w:val="toc 2"/>
    <w:basedOn w:val="1039"/>
    <w:next w:val="1039"/>
    <w:uiPriority w:val="39"/>
    <w:unhideWhenUsed/>
    <w:pPr>
      <w:pBdr/>
      <w:spacing w:after="100"/>
      <w:ind w:left="220"/>
    </w:pPr>
  </w:style>
  <w:style w:type="paragraph" w:styleId="1029">
    <w:name w:val="toc 3"/>
    <w:basedOn w:val="1039"/>
    <w:next w:val="1039"/>
    <w:uiPriority w:val="39"/>
    <w:unhideWhenUsed/>
    <w:pPr>
      <w:pBdr/>
      <w:spacing w:after="100"/>
      <w:ind w:left="440"/>
    </w:pPr>
  </w:style>
  <w:style w:type="paragraph" w:styleId="1030">
    <w:name w:val="toc 4"/>
    <w:basedOn w:val="1039"/>
    <w:next w:val="1039"/>
    <w:uiPriority w:val="39"/>
    <w:unhideWhenUsed/>
    <w:pPr>
      <w:pBdr/>
      <w:spacing w:after="100"/>
      <w:ind w:left="660"/>
    </w:pPr>
  </w:style>
  <w:style w:type="paragraph" w:styleId="1031">
    <w:name w:val="toc 5"/>
    <w:basedOn w:val="1039"/>
    <w:next w:val="1039"/>
    <w:uiPriority w:val="39"/>
    <w:unhideWhenUsed/>
    <w:pPr>
      <w:pBdr/>
      <w:spacing w:after="100"/>
      <w:ind w:left="880"/>
    </w:pPr>
  </w:style>
  <w:style w:type="paragraph" w:styleId="1032">
    <w:name w:val="toc 6"/>
    <w:basedOn w:val="1039"/>
    <w:next w:val="1039"/>
    <w:uiPriority w:val="39"/>
    <w:unhideWhenUsed/>
    <w:pPr>
      <w:pBdr/>
      <w:spacing w:after="100"/>
      <w:ind w:left="1100"/>
    </w:pPr>
  </w:style>
  <w:style w:type="paragraph" w:styleId="1033">
    <w:name w:val="toc 7"/>
    <w:basedOn w:val="1039"/>
    <w:next w:val="1039"/>
    <w:uiPriority w:val="39"/>
    <w:unhideWhenUsed/>
    <w:pPr>
      <w:pBdr/>
      <w:spacing w:after="100"/>
      <w:ind w:left="1320"/>
    </w:pPr>
  </w:style>
  <w:style w:type="paragraph" w:styleId="1034">
    <w:name w:val="toc 8"/>
    <w:basedOn w:val="1039"/>
    <w:next w:val="1039"/>
    <w:uiPriority w:val="39"/>
    <w:unhideWhenUsed/>
    <w:pPr>
      <w:pBdr/>
      <w:spacing w:after="100"/>
      <w:ind w:left="1540"/>
    </w:pPr>
  </w:style>
  <w:style w:type="paragraph" w:styleId="1035">
    <w:name w:val="toc 9"/>
    <w:basedOn w:val="1039"/>
    <w:next w:val="1039"/>
    <w:uiPriority w:val="39"/>
    <w:unhideWhenUsed/>
    <w:pPr>
      <w:pBdr/>
      <w:spacing w:after="100"/>
      <w:ind w:left="1760"/>
    </w:pPr>
  </w:style>
  <w:style w:type="character" w:styleId="1036">
    <w:name w:val="Placeholder Text"/>
    <w:basedOn w:val="1040"/>
    <w:uiPriority w:val="99"/>
    <w:semiHidden/>
    <w:pPr>
      <w:pBdr/>
      <w:spacing/>
      <w:ind/>
    </w:pPr>
    <w:rPr>
      <w:color w:val="666666"/>
    </w:rPr>
  </w:style>
  <w:style w:type="paragraph" w:styleId="1037">
    <w:name w:val="TOC Heading"/>
    <w:uiPriority w:val="39"/>
    <w:unhideWhenUsed/>
    <w:pPr>
      <w:pBdr/>
      <w:spacing/>
      <w:ind/>
    </w:pPr>
  </w:style>
  <w:style w:type="paragraph" w:styleId="1038">
    <w:name w:val="table of figures"/>
    <w:basedOn w:val="1039"/>
    <w:next w:val="1039"/>
    <w:uiPriority w:val="99"/>
    <w:unhideWhenUsed/>
    <w:pPr>
      <w:pBdr/>
      <w:spacing w:after="0" w:afterAutospacing="0"/>
      <w:ind/>
    </w:pPr>
  </w:style>
  <w:style w:type="paragraph" w:styleId="1039" w:default="1">
    <w:name w:val="Normal"/>
    <w:qFormat/>
    <w:pPr>
      <w:pBdr/>
      <w:spacing w:after="200" w:line="276" w:lineRule="auto"/>
      <w:ind/>
    </w:pPr>
    <w:rPr>
      <w:sz w:val="22"/>
      <w:szCs w:val="22"/>
      <w:lang w:val="en-US" w:eastAsia="en-US"/>
    </w:rPr>
  </w:style>
  <w:style w:type="character" w:styleId="1040" w:default="1">
    <w:name w:val="Default Paragraph Font"/>
    <w:uiPriority w:val="1"/>
    <w:semiHidden/>
    <w:unhideWhenUsed/>
    <w:pPr>
      <w:pBdr/>
      <w:spacing/>
      <w:ind/>
    </w:pPr>
  </w:style>
  <w:style w:type="table" w:styleId="10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42" w:default="1">
    <w:name w:val="No List"/>
    <w:uiPriority w:val="99"/>
    <w:semiHidden/>
    <w:unhideWhenUsed/>
    <w:pPr>
      <w:pBdr/>
      <w:spacing/>
      <w:ind/>
    </w:pPr>
  </w:style>
  <w:style w:type="paragraph" w:styleId="1043">
    <w:name w:val="Header"/>
    <w:basedOn w:val="1039"/>
    <w:link w:val="1044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44" w:customStyle="1">
    <w:name w:val="Header Char"/>
    <w:link w:val="1043"/>
    <w:uiPriority w:val="99"/>
    <w:pPr>
      <w:pBdr/>
      <w:spacing/>
      <w:ind/>
    </w:pPr>
    <w:rPr>
      <w:sz w:val="22"/>
      <w:szCs w:val="22"/>
    </w:rPr>
  </w:style>
  <w:style w:type="paragraph" w:styleId="1045">
    <w:name w:val="Footer"/>
    <w:basedOn w:val="1039"/>
    <w:link w:val="104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46" w:customStyle="1">
    <w:name w:val="Footer Char"/>
    <w:link w:val="1045"/>
    <w:uiPriority w:val="99"/>
    <w:pPr>
      <w:pBdr/>
      <w:spacing/>
      <w:ind/>
    </w:pPr>
    <w:rPr>
      <w:sz w:val="22"/>
      <w:szCs w:val="22"/>
    </w:rPr>
  </w:style>
  <w:style w:type="table" w:styleId="1047">
    <w:name w:val="Table Grid"/>
    <w:basedOn w:val="104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48">
    <w:name w:val="footnote text"/>
    <w:basedOn w:val="1039"/>
    <w:link w:val="104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49" w:customStyle="1">
    <w:name w:val="Footnote Text Char"/>
    <w:basedOn w:val="1040"/>
    <w:link w:val="1048"/>
    <w:uiPriority w:val="99"/>
    <w:semiHidden/>
    <w:pPr>
      <w:pBdr/>
      <w:spacing/>
      <w:ind/>
    </w:pPr>
    <w:rPr>
      <w:lang w:val="en-US" w:eastAsia="en-US"/>
    </w:rPr>
  </w:style>
  <w:style w:type="character" w:styleId="1050">
    <w:name w:val="footnote reference"/>
    <w:basedOn w:val="1040"/>
    <w:uiPriority w:val="99"/>
    <w:semiHidden/>
    <w:unhideWhenUsed/>
    <w:pPr>
      <w:pBdr/>
      <w:spacing/>
      <w:ind/>
    </w:pPr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>Praetor d.o.o.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revision>14</cp:revision>
  <dcterms:created xsi:type="dcterms:W3CDTF">2021-03-02T10:59:00Z</dcterms:created>
  <dcterms:modified xsi:type="dcterms:W3CDTF">2026-04-21T07:17:48Z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JN-1/2026</vt:lpwstr>
  </property>
  <property fmtid="{D5CDD505-2E9C-101B-9397-08002B2CF9AE}" pid="3" name="MFiles_P1046">
    <vt:lpwstr>Dobava gasilskega vozila GVC-1</vt:lpwstr>
  </property>
  <property fmtid="{D5CDD505-2E9C-101B-9397-08002B2CF9AE}" pid="4" name="MFiles_P1021n1_P0">
    <vt:lpwstr>Prostovoljno gasilsko društvo Zgornji Brnik</vt:lpwstr>
  </property>
  <property fmtid="{D5CDD505-2E9C-101B-9397-08002B2CF9AE}" pid="5" name="MFiles_P1021n1_P1033">
    <vt:lpwstr>Zgornji Brnik 8</vt:lpwstr>
  </property>
  <property fmtid="{D5CDD505-2E9C-101B-9397-08002B2CF9AE}" pid="6" name="MFiles_PG5BC2FC14A405421BA79F5FEC63BD00E3n1_PGB3D8D77D2D654902AEB821305A1A12BC">
    <vt:lpwstr>4207 Cerklje na Gorenjskem</vt:lpwstr>
  </property>
</Properties>
</file>